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92E82">
      <w:pPr>
        <w:spacing w:line="360" w:lineRule="auto"/>
        <w:ind w:right="26" w:firstLine="560" w:firstLineChars="0"/>
        <w:rPr>
          <w:rFonts w:eastAsia="华文中宋"/>
          <w:b/>
          <w:bCs/>
          <w:color w:val="auto"/>
          <w:spacing w:val="-14"/>
          <w:szCs w:val="28"/>
        </w:rPr>
      </w:pPr>
    </w:p>
    <w:p w14:paraId="47B76B17">
      <w:pPr>
        <w:spacing w:line="360" w:lineRule="auto"/>
        <w:ind w:right="26" w:firstLine="825"/>
        <w:jc w:val="center"/>
        <w:rPr>
          <w:rFonts w:eastAsia="华文中宋"/>
          <w:b/>
          <w:bCs/>
          <w:color w:val="auto"/>
          <w:spacing w:val="-14"/>
          <w:sz w:val="44"/>
          <w:szCs w:val="28"/>
        </w:rPr>
      </w:pPr>
    </w:p>
    <w:p w14:paraId="03B4C409">
      <w:pPr>
        <w:spacing w:line="360" w:lineRule="auto"/>
        <w:ind w:right="26" w:firstLine="905"/>
        <w:jc w:val="center"/>
        <w:rPr>
          <w:rFonts w:eastAsia="华文中宋"/>
          <w:b/>
          <w:bCs/>
          <w:color w:val="auto"/>
          <w:spacing w:val="-14"/>
          <w:sz w:val="48"/>
          <w:szCs w:val="28"/>
        </w:rPr>
      </w:pPr>
    </w:p>
    <w:p w14:paraId="17F1FB46">
      <w:pPr>
        <w:spacing w:line="360" w:lineRule="auto"/>
        <w:ind w:right="26" w:firstLine="905"/>
        <w:jc w:val="center"/>
        <w:rPr>
          <w:rFonts w:eastAsia="华文中宋"/>
          <w:b/>
          <w:bCs/>
          <w:color w:val="auto"/>
          <w:spacing w:val="-14"/>
          <w:sz w:val="48"/>
          <w:szCs w:val="28"/>
        </w:rPr>
      </w:pPr>
    </w:p>
    <w:p w14:paraId="246D27F9">
      <w:pPr>
        <w:spacing w:line="360" w:lineRule="auto"/>
        <w:ind w:right="26" w:firstLine="905"/>
        <w:jc w:val="center"/>
        <w:rPr>
          <w:rFonts w:eastAsia="华文中宋"/>
          <w:b/>
          <w:bCs/>
          <w:color w:val="auto"/>
          <w:spacing w:val="-14"/>
          <w:sz w:val="48"/>
          <w:szCs w:val="28"/>
        </w:rPr>
      </w:pPr>
    </w:p>
    <w:p w14:paraId="7B07130D">
      <w:pPr>
        <w:ind w:firstLine="0" w:firstLineChars="0"/>
        <w:jc w:val="center"/>
        <w:rPr>
          <w:rFonts w:hint="eastAsia" w:ascii="黑体" w:hAnsi="黑体" w:eastAsia="黑体"/>
          <w:color w:val="auto"/>
          <w:sz w:val="44"/>
          <w:szCs w:val="44"/>
          <w:lang w:val="zh-TW"/>
        </w:rPr>
      </w:pPr>
      <w:r>
        <w:rPr>
          <w:rFonts w:hint="eastAsia" w:ascii="黑体" w:hAnsi="黑体" w:eastAsia="黑体"/>
          <w:color w:val="auto"/>
          <w:sz w:val="44"/>
          <w:szCs w:val="44"/>
          <w:lang w:val="zh-TW"/>
        </w:rPr>
        <w:t>2026</w:t>
      </w:r>
      <w:r>
        <w:rPr>
          <w:rFonts w:hint="eastAsia" w:ascii="黑体" w:hAnsi="黑体" w:eastAsia="黑体"/>
          <w:color w:val="auto"/>
          <w:sz w:val="44"/>
          <w:szCs w:val="44"/>
          <w:lang w:val="en-US" w:eastAsia="zh-CN"/>
        </w:rPr>
        <w:t>-2027</w:t>
      </w:r>
      <w:r>
        <w:rPr>
          <w:rFonts w:hint="eastAsia" w:ascii="黑体" w:hAnsi="黑体" w:eastAsia="黑体"/>
          <w:color w:val="auto"/>
          <w:sz w:val="44"/>
          <w:szCs w:val="44"/>
          <w:lang w:val="zh-TW"/>
        </w:rPr>
        <w:t>年度用途管制工作技术服务</w:t>
      </w:r>
    </w:p>
    <w:p w14:paraId="094CB094">
      <w:pPr>
        <w:ind w:firstLine="0" w:firstLineChars="0"/>
        <w:jc w:val="center"/>
        <w:rPr>
          <w:rFonts w:hint="eastAsia" w:ascii="黑体" w:hAnsi="黑体" w:eastAsia="黑体"/>
          <w:color w:val="auto"/>
          <w:sz w:val="44"/>
          <w:szCs w:val="44"/>
        </w:rPr>
      </w:pPr>
      <w:r>
        <w:rPr>
          <w:rFonts w:hint="eastAsia" w:ascii="黑体" w:hAnsi="黑体" w:eastAsia="黑体"/>
          <w:color w:val="auto"/>
          <w:sz w:val="44"/>
          <w:szCs w:val="44"/>
          <w:lang w:val="zh-TW"/>
        </w:rPr>
        <w:t>项目建议书</w:t>
      </w:r>
    </w:p>
    <w:p w14:paraId="69A1663C">
      <w:pPr>
        <w:pStyle w:val="28"/>
        <w:pBdr>
          <w:top w:val="none" w:color="auto" w:sz="0" w:space="0"/>
          <w:left w:val="none" w:color="auto" w:sz="0" w:space="0"/>
          <w:bottom w:val="none" w:color="auto" w:sz="0" w:space="0"/>
          <w:right w:val="none" w:color="auto" w:sz="0" w:space="0"/>
        </w:pBdr>
        <w:adjustRightInd w:val="0"/>
        <w:snapToGrid w:val="0"/>
        <w:spacing w:before="468" w:beforeLines="150"/>
        <w:jc w:val="center"/>
        <w:rPr>
          <w:rFonts w:hint="eastAsia" w:ascii="宋体" w:hAnsi="宋体" w:cs="Times New Roman"/>
          <w:b/>
          <w:color w:val="auto"/>
          <w:spacing w:val="-6"/>
          <w:sz w:val="28"/>
          <w:szCs w:val="28"/>
        </w:rPr>
      </w:pPr>
    </w:p>
    <w:p w14:paraId="5D109681">
      <w:pPr>
        <w:pStyle w:val="28"/>
        <w:pBdr>
          <w:top w:val="none" w:color="auto" w:sz="0" w:space="0"/>
          <w:left w:val="none" w:color="auto" w:sz="0" w:space="0"/>
          <w:bottom w:val="none" w:color="auto" w:sz="0" w:space="0"/>
          <w:right w:val="none" w:color="auto" w:sz="0" w:space="0"/>
        </w:pBdr>
        <w:adjustRightInd w:val="0"/>
        <w:snapToGrid w:val="0"/>
        <w:spacing w:before="468" w:beforeLines="150"/>
        <w:jc w:val="center"/>
        <w:rPr>
          <w:rFonts w:hint="eastAsia" w:ascii="宋体" w:hAnsi="宋体" w:cs="Times New Roman"/>
          <w:b/>
          <w:color w:val="auto"/>
          <w:spacing w:val="-6"/>
          <w:sz w:val="28"/>
          <w:szCs w:val="28"/>
        </w:rPr>
      </w:pPr>
    </w:p>
    <w:p w14:paraId="66A7D4F4">
      <w:pPr>
        <w:pStyle w:val="28"/>
        <w:pBdr>
          <w:top w:val="none" w:color="auto" w:sz="0" w:space="0"/>
          <w:left w:val="none" w:color="auto" w:sz="0" w:space="0"/>
          <w:bottom w:val="none" w:color="auto" w:sz="0" w:space="0"/>
          <w:right w:val="none" w:color="auto" w:sz="0" w:space="0"/>
        </w:pBdr>
        <w:adjustRightInd w:val="0"/>
        <w:snapToGrid w:val="0"/>
        <w:spacing w:before="468" w:beforeLines="150"/>
        <w:jc w:val="center"/>
        <w:rPr>
          <w:rFonts w:hint="eastAsia" w:ascii="宋体" w:hAnsi="宋体" w:cs="Times New Roman"/>
          <w:b/>
          <w:color w:val="auto"/>
          <w:spacing w:val="-6"/>
          <w:sz w:val="28"/>
          <w:szCs w:val="28"/>
        </w:rPr>
      </w:pPr>
    </w:p>
    <w:p w14:paraId="592959A4">
      <w:pPr>
        <w:pStyle w:val="28"/>
        <w:pBdr>
          <w:top w:val="none" w:color="auto" w:sz="0" w:space="0"/>
          <w:left w:val="none" w:color="auto" w:sz="0" w:space="0"/>
          <w:bottom w:val="none" w:color="auto" w:sz="0" w:space="0"/>
          <w:right w:val="none" w:color="auto" w:sz="0" w:space="0"/>
        </w:pBdr>
        <w:adjustRightInd w:val="0"/>
        <w:snapToGrid w:val="0"/>
        <w:spacing w:before="468" w:beforeLines="150"/>
        <w:jc w:val="center"/>
        <w:rPr>
          <w:rFonts w:hint="eastAsia" w:ascii="宋体" w:hAnsi="宋体" w:cs="Times New Roman"/>
          <w:b/>
          <w:color w:val="auto"/>
          <w:spacing w:val="-6"/>
          <w:sz w:val="28"/>
          <w:szCs w:val="28"/>
        </w:rPr>
      </w:pPr>
    </w:p>
    <w:p w14:paraId="2673CE1E">
      <w:pPr>
        <w:pStyle w:val="28"/>
        <w:pBdr>
          <w:top w:val="none" w:color="auto" w:sz="0" w:space="0"/>
          <w:left w:val="none" w:color="auto" w:sz="0" w:space="0"/>
          <w:bottom w:val="none" w:color="auto" w:sz="0" w:space="0"/>
          <w:right w:val="none" w:color="auto" w:sz="0" w:space="0"/>
        </w:pBdr>
        <w:tabs>
          <w:tab w:val="left" w:pos="5257"/>
        </w:tabs>
        <w:adjustRightInd w:val="0"/>
        <w:snapToGrid w:val="0"/>
        <w:spacing w:before="468" w:beforeLines="150"/>
        <w:jc w:val="left"/>
        <w:rPr>
          <w:rFonts w:hint="eastAsia" w:ascii="宋体" w:hAnsi="宋体" w:cs="Times New Roman"/>
          <w:b/>
          <w:color w:val="auto"/>
          <w:spacing w:val="-6"/>
          <w:sz w:val="28"/>
          <w:szCs w:val="28"/>
        </w:rPr>
      </w:pPr>
      <w:r>
        <w:rPr>
          <w:rFonts w:ascii="宋体" w:hAnsi="宋体" w:cs="Times New Roman"/>
          <w:b/>
          <w:color w:val="auto"/>
          <w:spacing w:val="-6"/>
          <w:sz w:val="28"/>
          <w:szCs w:val="28"/>
        </w:rPr>
        <w:tab/>
      </w:r>
    </w:p>
    <w:p w14:paraId="25B49B85">
      <w:pPr>
        <w:pStyle w:val="28"/>
        <w:pBdr>
          <w:top w:val="none" w:color="auto" w:sz="0" w:space="0"/>
          <w:left w:val="none" w:color="auto" w:sz="0" w:space="0"/>
          <w:bottom w:val="none" w:color="auto" w:sz="0" w:space="0"/>
          <w:right w:val="none" w:color="auto" w:sz="0" w:space="0"/>
        </w:pBdr>
        <w:tabs>
          <w:tab w:val="left" w:pos="5257"/>
        </w:tabs>
        <w:adjustRightInd w:val="0"/>
        <w:snapToGrid w:val="0"/>
        <w:spacing w:before="468" w:beforeLines="150"/>
        <w:jc w:val="left"/>
        <w:rPr>
          <w:rFonts w:hint="eastAsia" w:ascii="宋体" w:hAnsi="宋体" w:cs="Times New Roman"/>
          <w:b/>
          <w:color w:val="auto"/>
          <w:spacing w:val="-6"/>
          <w:sz w:val="28"/>
          <w:szCs w:val="28"/>
        </w:rPr>
      </w:pPr>
    </w:p>
    <w:p w14:paraId="5F278C1A">
      <w:pPr>
        <w:pStyle w:val="28"/>
        <w:pBdr>
          <w:top w:val="none" w:color="auto" w:sz="0" w:space="0"/>
          <w:left w:val="none" w:color="auto" w:sz="0" w:space="0"/>
          <w:bottom w:val="none" w:color="auto" w:sz="0" w:space="0"/>
          <w:right w:val="none" w:color="auto" w:sz="0" w:space="0"/>
        </w:pBdr>
        <w:tabs>
          <w:tab w:val="left" w:pos="5257"/>
        </w:tabs>
        <w:adjustRightInd w:val="0"/>
        <w:snapToGrid w:val="0"/>
        <w:spacing w:before="468" w:beforeLines="150"/>
        <w:jc w:val="left"/>
        <w:rPr>
          <w:rFonts w:hint="eastAsia" w:ascii="宋体" w:hAnsi="宋体" w:cs="Times New Roman"/>
          <w:b/>
          <w:color w:val="auto"/>
          <w:spacing w:val="-6"/>
          <w:sz w:val="28"/>
          <w:szCs w:val="28"/>
        </w:rPr>
      </w:pPr>
    </w:p>
    <w:p w14:paraId="41372F15">
      <w:pPr>
        <w:pStyle w:val="28"/>
        <w:pBdr>
          <w:top w:val="none" w:color="auto" w:sz="0" w:space="0"/>
          <w:left w:val="none" w:color="auto" w:sz="0" w:space="0"/>
          <w:bottom w:val="none" w:color="auto" w:sz="0" w:space="0"/>
          <w:right w:val="none" w:color="auto" w:sz="0" w:space="0"/>
        </w:pBdr>
        <w:tabs>
          <w:tab w:val="left" w:pos="5257"/>
        </w:tabs>
        <w:adjustRightInd w:val="0"/>
        <w:snapToGrid w:val="0"/>
        <w:spacing w:before="468" w:beforeLines="150"/>
        <w:jc w:val="left"/>
        <w:rPr>
          <w:rFonts w:hint="eastAsia" w:ascii="宋体" w:hAnsi="宋体" w:cs="Times New Roman"/>
          <w:b/>
          <w:color w:val="auto"/>
          <w:spacing w:val="-6"/>
          <w:sz w:val="28"/>
          <w:szCs w:val="28"/>
        </w:rPr>
      </w:pPr>
    </w:p>
    <w:p w14:paraId="5593E8E1">
      <w:pPr>
        <w:pStyle w:val="28"/>
        <w:pBdr>
          <w:top w:val="none" w:color="auto" w:sz="0" w:space="0"/>
          <w:left w:val="none" w:color="auto" w:sz="0" w:space="0"/>
          <w:bottom w:val="none" w:color="auto" w:sz="0" w:space="0"/>
          <w:right w:val="none" w:color="auto" w:sz="0" w:space="0"/>
        </w:pBdr>
        <w:tabs>
          <w:tab w:val="left" w:pos="5257"/>
        </w:tabs>
        <w:adjustRightInd w:val="0"/>
        <w:snapToGrid w:val="0"/>
        <w:spacing w:before="468" w:beforeLines="150"/>
        <w:jc w:val="left"/>
        <w:rPr>
          <w:rFonts w:hint="eastAsia" w:ascii="宋体" w:hAnsi="宋体" w:cs="Times New Roman"/>
          <w:b/>
          <w:color w:val="auto"/>
          <w:spacing w:val="-6"/>
          <w:sz w:val="28"/>
          <w:szCs w:val="28"/>
        </w:rPr>
      </w:pPr>
    </w:p>
    <w:p w14:paraId="79F85217">
      <w:pPr>
        <w:widowControl/>
        <w:ind w:firstLine="0" w:firstLineChars="0"/>
        <w:jc w:val="center"/>
        <w:rPr>
          <w:rFonts w:hint="eastAsia" w:ascii="华文中宋" w:hAnsi="华文中宋" w:eastAsia="华文中宋"/>
          <w:b/>
          <w:color w:val="auto"/>
          <w:sz w:val="44"/>
          <w:szCs w:val="44"/>
        </w:rPr>
      </w:pPr>
      <w:r>
        <w:rPr>
          <w:rFonts w:ascii="华文中宋" w:hAnsi="华文中宋" w:eastAsia="华文中宋"/>
          <w:color w:val="auto"/>
          <w:sz w:val="44"/>
          <w:szCs w:val="44"/>
        </w:rPr>
        <w:br w:type="page"/>
      </w:r>
      <w:bookmarkStart w:id="37" w:name="_GoBack"/>
      <w:bookmarkEnd w:id="37"/>
      <w:r>
        <w:rPr>
          <w:rFonts w:hint="eastAsia" w:ascii="华文中宋" w:hAnsi="华文中宋" w:eastAsia="华文中宋"/>
          <w:b/>
          <w:color w:val="auto"/>
          <w:sz w:val="44"/>
          <w:szCs w:val="44"/>
        </w:rPr>
        <w:t>目  录</w:t>
      </w:r>
    </w:p>
    <w:p w14:paraId="31D5C11E">
      <w:pPr>
        <w:pStyle w:val="13"/>
        <w:tabs>
          <w:tab w:val="right" w:leader="dot" w:pos="8306"/>
          <w:tab w:val="clear" w:pos="8296"/>
        </w:tabs>
      </w:pPr>
      <w:r>
        <w:rPr>
          <w:rFonts w:ascii="仿宋" w:hAnsi="仿宋" w:eastAsia="仿宋"/>
          <w:color w:val="auto"/>
          <w:sz w:val="32"/>
        </w:rPr>
        <w:fldChar w:fldCharType="begin"/>
      </w:r>
      <w:r>
        <w:rPr>
          <w:rFonts w:ascii="仿宋" w:hAnsi="仿宋" w:eastAsia="仿宋"/>
          <w:color w:val="auto"/>
          <w:sz w:val="32"/>
        </w:rPr>
        <w:instrText xml:space="preserve"> </w:instrText>
      </w:r>
      <w:r>
        <w:rPr>
          <w:rFonts w:hint="eastAsia" w:ascii="仿宋" w:hAnsi="仿宋" w:eastAsia="仿宋"/>
          <w:color w:val="auto"/>
          <w:sz w:val="32"/>
        </w:rPr>
        <w:instrText xml:space="preserve">TOC \o "1-2" \h \z \u</w:instrText>
      </w:r>
      <w:r>
        <w:rPr>
          <w:rFonts w:ascii="仿宋" w:hAnsi="仿宋" w:eastAsia="仿宋"/>
          <w:color w:val="auto"/>
          <w:sz w:val="32"/>
        </w:rPr>
        <w:instrText xml:space="preserve"> </w:instrText>
      </w:r>
      <w:r>
        <w:rPr>
          <w:rFonts w:ascii="仿宋" w:hAnsi="仿宋" w:eastAsia="仿宋"/>
          <w:color w:val="auto"/>
          <w:sz w:val="32"/>
        </w:rPr>
        <w:fldChar w:fldCharType="separate"/>
      </w:r>
      <w:r>
        <w:rPr>
          <w:rFonts w:ascii="仿宋" w:hAnsi="仿宋" w:eastAsia="仿宋"/>
          <w:color w:val="auto"/>
        </w:rPr>
        <w:fldChar w:fldCharType="begin"/>
      </w:r>
      <w:r>
        <w:rPr>
          <w:rFonts w:ascii="仿宋" w:hAnsi="仿宋" w:eastAsia="仿宋"/>
        </w:rPr>
        <w:instrText xml:space="preserve"> HYPERLINK \l _Toc1774 </w:instrText>
      </w:r>
      <w:r>
        <w:rPr>
          <w:rFonts w:ascii="仿宋" w:hAnsi="仿宋" w:eastAsia="仿宋"/>
        </w:rPr>
        <w:fldChar w:fldCharType="separate"/>
      </w:r>
      <w:r>
        <w:rPr>
          <w:rFonts w:hint="eastAsia"/>
        </w:rPr>
        <w:t>1 项目概况</w:t>
      </w:r>
      <w:r>
        <w:tab/>
      </w:r>
      <w:r>
        <w:fldChar w:fldCharType="begin"/>
      </w:r>
      <w:r>
        <w:instrText xml:space="preserve"> PAGEREF _Toc1774 \h </w:instrText>
      </w:r>
      <w:r>
        <w:fldChar w:fldCharType="separate"/>
      </w:r>
      <w:r>
        <w:t>1</w:t>
      </w:r>
      <w:r>
        <w:fldChar w:fldCharType="end"/>
      </w:r>
      <w:r>
        <w:rPr>
          <w:rFonts w:ascii="仿宋" w:hAnsi="仿宋" w:eastAsia="仿宋"/>
          <w:color w:val="auto"/>
        </w:rPr>
        <w:fldChar w:fldCharType="end"/>
      </w:r>
    </w:p>
    <w:p w14:paraId="71886D51">
      <w:pPr>
        <w:pStyle w:val="14"/>
        <w:tabs>
          <w:tab w:val="right" w:leader="dot" w:pos="8306"/>
          <w:tab w:val="clear" w:pos="8296"/>
        </w:tabs>
      </w:pPr>
      <w:r>
        <w:rPr>
          <w:rFonts w:ascii="仿宋" w:hAnsi="仿宋"/>
          <w:color w:val="auto"/>
          <w:szCs w:val="28"/>
        </w:rPr>
        <w:fldChar w:fldCharType="begin"/>
      </w:r>
      <w:r>
        <w:rPr>
          <w:rFonts w:ascii="仿宋" w:hAnsi="仿宋"/>
          <w:szCs w:val="28"/>
        </w:rPr>
        <w:instrText xml:space="preserve"> HYPERLINK \l _Toc16990 </w:instrText>
      </w:r>
      <w:r>
        <w:rPr>
          <w:rFonts w:ascii="仿宋" w:hAnsi="仿宋"/>
          <w:szCs w:val="28"/>
        </w:rPr>
        <w:fldChar w:fldCharType="separate"/>
      </w:r>
      <w:r>
        <w:rPr>
          <w:rFonts w:hint="eastAsia"/>
        </w:rPr>
        <w:t xml:space="preserve">1.1 </w:t>
      </w:r>
      <w:r>
        <w:rPr>
          <w:rFonts w:hint="eastAsia"/>
          <w:lang w:val="en-US" w:eastAsia="zh-CN"/>
        </w:rPr>
        <w:t>农转用报批材料技术审查</w:t>
      </w:r>
      <w:r>
        <w:tab/>
      </w:r>
      <w:r>
        <w:fldChar w:fldCharType="begin"/>
      </w:r>
      <w:r>
        <w:instrText xml:space="preserve"> PAGEREF _Toc16990 \h </w:instrText>
      </w:r>
      <w:r>
        <w:fldChar w:fldCharType="separate"/>
      </w:r>
      <w:r>
        <w:t>1</w:t>
      </w:r>
      <w:r>
        <w:fldChar w:fldCharType="end"/>
      </w:r>
      <w:r>
        <w:rPr>
          <w:rFonts w:ascii="仿宋" w:hAnsi="仿宋"/>
          <w:color w:val="auto"/>
          <w:szCs w:val="28"/>
        </w:rPr>
        <w:fldChar w:fldCharType="end"/>
      </w:r>
    </w:p>
    <w:p w14:paraId="2FBC78B6">
      <w:pPr>
        <w:pStyle w:val="14"/>
        <w:tabs>
          <w:tab w:val="right" w:leader="dot" w:pos="8306"/>
          <w:tab w:val="clear" w:pos="8296"/>
        </w:tabs>
      </w:pPr>
      <w:r>
        <w:rPr>
          <w:rFonts w:ascii="仿宋" w:hAnsi="仿宋"/>
          <w:color w:val="auto"/>
          <w:szCs w:val="28"/>
        </w:rPr>
        <w:fldChar w:fldCharType="begin"/>
      </w:r>
      <w:r>
        <w:rPr>
          <w:rFonts w:ascii="仿宋" w:hAnsi="仿宋"/>
          <w:szCs w:val="28"/>
        </w:rPr>
        <w:instrText xml:space="preserve"> HYPERLINK \l _Toc26507 </w:instrText>
      </w:r>
      <w:r>
        <w:rPr>
          <w:rFonts w:ascii="仿宋" w:hAnsi="仿宋"/>
          <w:szCs w:val="28"/>
        </w:rPr>
        <w:fldChar w:fldCharType="separate"/>
      </w:r>
      <w:r>
        <w:rPr>
          <w:rFonts w:hint="eastAsia"/>
        </w:rPr>
        <w:t xml:space="preserve">1.2 </w:t>
      </w:r>
      <w:r>
        <w:t>土地征收成片开发审查技术服务</w:t>
      </w:r>
      <w:r>
        <w:tab/>
      </w:r>
      <w:r>
        <w:fldChar w:fldCharType="begin"/>
      </w:r>
      <w:r>
        <w:instrText xml:space="preserve"> PAGEREF _Toc26507 \h </w:instrText>
      </w:r>
      <w:r>
        <w:fldChar w:fldCharType="separate"/>
      </w:r>
      <w:r>
        <w:t>1</w:t>
      </w:r>
      <w:r>
        <w:fldChar w:fldCharType="end"/>
      </w:r>
      <w:r>
        <w:rPr>
          <w:rFonts w:ascii="仿宋" w:hAnsi="仿宋"/>
          <w:color w:val="auto"/>
          <w:szCs w:val="28"/>
        </w:rPr>
        <w:fldChar w:fldCharType="end"/>
      </w:r>
    </w:p>
    <w:p w14:paraId="7E886FE3">
      <w:pPr>
        <w:pStyle w:val="14"/>
        <w:tabs>
          <w:tab w:val="right" w:leader="dot" w:pos="8306"/>
          <w:tab w:val="clear" w:pos="8296"/>
        </w:tabs>
      </w:pPr>
      <w:r>
        <w:rPr>
          <w:rFonts w:ascii="仿宋" w:hAnsi="仿宋"/>
          <w:color w:val="auto"/>
          <w:szCs w:val="28"/>
        </w:rPr>
        <w:fldChar w:fldCharType="begin"/>
      </w:r>
      <w:r>
        <w:rPr>
          <w:rFonts w:ascii="仿宋" w:hAnsi="仿宋"/>
          <w:szCs w:val="28"/>
        </w:rPr>
        <w:instrText xml:space="preserve"> HYPERLINK \l _Toc18301 </w:instrText>
      </w:r>
      <w:r>
        <w:rPr>
          <w:rFonts w:ascii="仿宋" w:hAnsi="仿宋"/>
          <w:szCs w:val="28"/>
        </w:rPr>
        <w:fldChar w:fldCharType="separate"/>
      </w:r>
      <w:r>
        <w:rPr>
          <w:rFonts w:hint="eastAsia"/>
        </w:rPr>
        <w:t xml:space="preserve">1.3 </w:t>
      </w:r>
      <w:r>
        <w:rPr>
          <w:rFonts w:hint="eastAsia"/>
          <w:lang w:val="en-US" w:eastAsia="zh-CN"/>
        </w:rPr>
        <w:t>批前工作技术审查</w:t>
      </w:r>
      <w:r>
        <w:tab/>
      </w:r>
      <w:r>
        <w:fldChar w:fldCharType="begin"/>
      </w:r>
      <w:r>
        <w:instrText xml:space="preserve"> PAGEREF _Toc18301 \h </w:instrText>
      </w:r>
      <w:r>
        <w:fldChar w:fldCharType="separate"/>
      </w:r>
      <w:r>
        <w:t>2</w:t>
      </w:r>
      <w:r>
        <w:fldChar w:fldCharType="end"/>
      </w:r>
      <w:r>
        <w:rPr>
          <w:rFonts w:ascii="仿宋" w:hAnsi="仿宋"/>
          <w:color w:val="auto"/>
          <w:szCs w:val="28"/>
        </w:rPr>
        <w:fldChar w:fldCharType="end"/>
      </w:r>
    </w:p>
    <w:p w14:paraId="714DD017">
      <w:pPr>
        <w:pStyle w:val="14"/>
        <w:tabs>
          <w:tab w:val="right" w:leader="dot" w:pos="8306"/>
          <w:tab w:val="clear" w:pos="8296"/>
        </w:tabs>
      </w:pPr>
      <w:r>
        <w:rPr>
          <w:rFonts w:ascii="仿宋" w:hAnsi="仿宋"/>
          <w:color w:val="auto"/>
          <w:szCs w:val="28"/>
        </w:rPr>
        <w:fldChar w:fldCharType="begin"/>
      </w:r>
      <w:r>
        <w:rPr>
          <w:rFonts w:ascii="仿宋" w:hAnsi="仿宋"/>
          <w:szCs w:val="28"/>
        </w:rPr>
        <w:instrText xml:space="preserve"> HYPERLINK \l _Toc30568 </w:instrText>
      </w:r>
      <w:r>
        <w:rPr>
          <w:rFonts w:ascii="仿宋" w:hAnsi="仿宋"/>
          <w:szCs w:val="28"/>
        </w:rPr>
        <w:fldChar w:fldCharType="separate"/>
      </w:r>
      <w:r>
        <w:rPr>
          <w:rFonts w:hint="eastAsia"/>
        </w:rPr>
        <w:t xml:space="preserve">1.4 </w:t>
      </w:r>
      <w:r>
        <w:rPr>
          <w:rFonts w:hint="eastAsia"/>
          <w:lang w:val="en-US" w:eastAsia="zh-CN"/>
        </w:rPr>
        <w:t>批后实施技术审查</w:t>
      </w:r>
      <w:r>
        <w:tab/>
      </w:r>
      <w:r>
        <w:fldChar w:fldCharType="begin"/>
      </w:r>
      <w:r>
        <w:instrText xml:space="preserve"> PAGEREF _Toc30568 \h </w:instrText>
      </w:r>
      <w:r>
        <w:fldChar w:fldCharType="separate"/>
      </w:r>
      <w:r>
        <w:t>3</w:t>
      </w:r>
      <w:r>
        <w:fldChar w:fldCharType="end"/>
      </w:r>
      <w:r>
        <w:rPr>
          <w:rFonts w:ascii="仿宋" w:hAnsi="仿宋"/>
          <w:color w:val="auto"/>
          <w:szCs w:val="28"/>
        </w:rPr>
        <w:fldChar w:fldCharType="end"/>
      </w:r>
    </w:p>
    <w:p w14:paraId="0C0670EC">
      <w:pPr>
        <w:pStyle w:val="14"/>
        <w:tabs>
          <w:tab w:val="right" w:leader="dot" w:pos="8306"/>
          <w:tab w:val="clear" w:pos="8296"/>
        </w:tabs>
      </w:pPr>
      <w:r>
        <w:rPr>
          <w:rFonts w:ascii="仿宋" w:hAnsi="仿宋"/>
          <w:color w:val="auto"/>
          <w:szCs w:val="28"/>
        </w:rPr>
        <w:fldChar w:fldCharType="begin"/>
      </w:r>
      <w:r>
        <w:rPr>
          <w:rFonts w:ascii="仿宋" w:hAnsi="仿宋"/>
          <w:szCs w:val="28"/>
        </w:rPr>
        <w:instrText xml:space="preserve"> HYPERLINK \l _Toc32207 </w:instrText>
      </w:r>
      <w:r>
        <w:rPr>
          <w:rFonts w:ascii="仿宋" w:hAnsi="仿宋"/>
          <w:szCs w:val="28"/>
        </w:rPr>
        <w:fldChar w:fldCharType="separate"/>
      </w:r>
      <w:r>
        <w:rPr>
          <w:rFonts w:hint="eastAsia"/>
        </w:rPr>
        <w:t xml:space="preserve">1.5 </w:t>
      </w:r>
      <w:r>
        <w:rPr>
          <w:rFonts w:hint="eastAsia"/>
          <w:lang w:val="en-US" w:eastAsia="zh-CN"/>
        </w:rPr>
        <w:t>批文</w:t>
      </w:r>
      <w:r>
        <w:rPr>
          <w:rFonts w:hint="eastAsia"/>
        </w:rPr>
        <w:t>红线核查</w:t>
      </w:r>
      <w:r>
        <w:rPr>
          <w:rFonts w:hint="eastAsia"/>
          <w:lang w:val="en-US" w:eastAsia="zh-CN"/>
        </w:rPr>
        <w:t>及相关数据建库</w:t>
      </w:r>
      <w:r>
        <w:tab/>
      </w:r>
      <w:r>
        <w:fldChar w:fldCharType="begin"/>
      </w:r>
      <w:r>
        <w:instrText xml:space="preserve"> PAGEREF _Toc32207 \h </w:instrText>
      </w:r>
      <w:r>
        <w:fldChar w:fldCharType="separate"/>
      </w:r>
      <w:r>
        <w:t>3</w:t>
      </w:r>
      <w:r>
        <w:fldChar w:fldCharType="end"/>
      </w:r>
      <w:r>
        <w:rPr>
          <w:rFonts w:ascii="仿宋" w:hAnsi="仿宋"/>
          <w:color w:val="auto"/>
          <w:szCs w:val="28"/>
        </w:rPr>
        <w:fldChar w:fldCharType="end"/>
      </w:r>
    </w:p>
    <w:p w14:paraId="313D8FC5">
      <w:pPr>
        <w:pStyle w:val="13"/>
        <w:tabs>
          <w:tab w:val="right" w:leader="dot" w:pos="8306"/>
          <w:tab w:val="clear" w:pos="8296"/>
        </w:tabs>
      </w:pPr>
      <w:r>
        <w:rPr>
          <w:rFonts w:ascii="仿宋" w:hAnsi="仿宋"/>
          <w:color w:val="auto"/>
          <w:szCs w:val="28"/>
        </w:rPr>
        <w:fldChar w:fldCharType="begin"/>
      </w:r>
      <w:r>
        <w:rPr>
          <w:rFonts w:ascii="仿宋" w:hAnsi="仿宋"/>
          <w:szCs w:val="28"/>
        </w:rPr>
        <w:instrText xml:space="preserve"> HYPERLINK \l _Toc22483 </w:instrText>
      </w:r>
      <w:r>
        <w:rPr>
          <w:rFonts w:ascii="仿宋" w:hAnsi="仿宋"/>
          <w:szCs w:val="28"/>
        </w:rPr>
        <w:fldChar w:fldCharType="separate"/>
      </w:r>
      <w:r>
        <w:rPr>
          <w:rFonts w:hint="eastAsia"/>
        </w:rPr>
        <w:t xml:space="preserve">2 </w:t>
      </w:r>
      <w:r>
        <w:t>工作</w:t>
      </w:r>
      <w:r>
        <w:rPr>
          <w:rFonts w:hint="eastAsia"/>
        </w:rPr>
        <w:t>依据</w:t>
      </w:r>
      <w:r>
        <w:tab/>
      </w:r>
      <w:r>
        <w:fldChar w:fldCharType="begin"/>
      </w:r>
      <w:r>
        <w:instrText xml:space="preserve"> PAGEREF _Toc22483 \h </w:instrText>
      </w:r>
      <w:r>
        <w:fldChar w:fldCharType="separate"/>
      </w:r>
      <w:r>
        <w:t>5</w:t>
      </w:r>
      <w:r>
        <w:fldChar w:fldCharType="end"/>
      </w:r>
      <w:r>
        <w:rPr>
          <w:rFonts w:ascii="仿宋" w:hAnsi="仿宋"/>
          <w:color w:val="auto"/>
          <w:szCs w:val="28"/>
        </w:rPr>
        <w:fldChar w:fldCharType="end"/>
      </w:r>
    </w:p>
    <w:p w14:paraId="464EC0A7">
      <w:pPr>
        <w:pStyle w:val="14"/>
        <w:tabs>
          <w:tab w:val="right" w:leader="dot" w:pos="8306"/>
          <w:tab w:val="clear" w:pos="8296"/>
        </w:tabs>
      </w:pPr>
      <w:r>
        <w:rPr>
          <w:rFonts w:ascii="仿宋" w:hAnsi="仿宋"/>
          <w:color w:val="auto"/>
          <w:szCs w:val="28"/>
        </w:rPr>
        <w:fldChar w:fldCharType="begin"/>
      </w:r>
      <w:r>
        <w:rPr>
          <w:rFonts w:ascii="仿宋" w:hAnsi="仿宋"/>
          <w:szCs w:val="28"/>
        </w:rPr>
        <w:instrText xml:space="preserve"> HYPERLINK \l _Toc13073 </w:instrText>
      </w:r>
      <w:r>
        <w:rPr>
          <w:rFonts w:ascii="仿宋" w:hAnsi="仿宋"/>
          <w:szCs w:val="28"/>
        </w:rPr>
        <w:fldChar w:fldCharType="separate"/>
      </w:r>
      <w:r>
        <w:rPr>
          <w:rFonts w:hint="eastAsia"/>
        </w:rPr>
        <w:t>2.1 法律法规</w:t>
      </w:r>
      <w:r>
        <w:tab/>
      </w:r>
      <w:r>
        <w:fldChar w:fldCharType="begin"/>
      </w:r>
      <w:r>
        <w:instrText xml:space="preserve"> PAGEREF _Toc13073 \h </w:instrText>
      </w:r>
      <w:r>
        <w:fldChar w:fldCharType="separate"/>
      </w:r>
      <w:r>
        <w:t>5</w:t>
      </w:r>
      <w:r>
        <w:fldChar w:fldCharType="end"/>
      </w:r>
      <w:r>
        <w:rPr>
          <w:rFonts w:ascii="仿宋" w:hAnsi="仿宋"/>
          <w:color w:val="auto"/>
          <w:szCs w:val="28"/>
        </w:rPr>
        <w:fldChar w:fldCharType="end"/>
      </w:r>
    </w:p>
    <w:p w14:paraId="7B3DCA04">
      <w:pPr>
        <w:pStyle w:val="14"/>
        <w:tabs>
          <w:tab w:val="right" w:leader="dot" w:pos="8306"/>
          <w:tab w:val="clear" w:pos="8296"/>
        </w:tabs>
      </w:pPr>
      <w:r>
        <w:rPr>
          <w:rFonts w:ascii="仿宋" w:hAnsi="仿宋"/>
          <w:color w:val="auto"/>
          <w:szCs w:val="28"/>
        </w:rPr>
        <w:fldChar w:fldCharType="begin"/>
      </w:r>
      <w:r>
        <w:rPr>
          <w:rFonts w:ascii="仿宋" w:hAnsi="仿宋"/>
          <w:szCs w:val="28"/>
        </w:rPr>
        <w:instrText xml:space="preserve"> HYPERLINK \l _Toc4778 </w:instrText>
      </w:r>
      <w:r>
        <w:rPr>
          <w:rFonts w:ascii="仿宋" w:hAnsi="仿宋"/>
          <w:szCs w:val="28"/>
        </w:rPr>
        <w:fldChar w:fldCharType="separate"/>
      </w:r>
      <w:r>
        <w:rPr>
          <w:rFonts w:hint="eastAsia"/>
        </w:rPr>
        <w:t>2.2 政策性文件</w:t>
      </w:r>
      <w:r>
        <w:tab/>
      </w:r>
      <w:r>
        <w:fldChar w:fldCharType="begin"/>
      </w:r>
      <w:r>
        <w:instrText xml:space="preserve"> PAGEREF _Toc4778 \h </w:instrText>
      </w:r>
      <w:r>
        <w:fldChar w:fldCharType="separate"/>
      </w:r>
      <w:r>
        <w:t>5</w:t>
      </w:r>
      <w:r>
        <w:fldChar w:fldCharType="end"/>
      </w:r>
      <w:r>
        <w:rPr>
          <w:rFonts w:ascii="仿宋" w:hAnsi="仿宋"/>
          <w:color w:val="auto"/>
          <w:szCs w:val="28"/>
        </w:rPr>
        <w:fldChar w:fldCharType="end"/>
      </w:r>
    </w:p>
    <w:p w14:paraId="21186E16">
      <w:pPr>
        <w:pStyle w:val="13"/>
        <w:tabs>
          <w:tab w:val="right" w:leader="dot" w:pos="8306"/>
          <w:tab w:val="clear" w:pos="8296"/>
        </w:tabs>
      </w:pPr>
      <w:r>
        <w:rPr>
          <w:rFonts w:ascii="仿宋" w:hAnsi="仿宋"/>
          <w:color w:val="auto"/>
          <w:szCs w:val="28"/>
        </w:rPr>
        <w:fldChar w:fldCharType="begin"/>
      </w:r>
      <w:r>
        <w:rPr>
          <w:rFonts w:ascii="仿宋" w:hAnsi="仿宋"/>
          <w:szCs w:val="28"/>
        </w:rPr>
        <w:instrText xml:space="preserve"> HYPERLINK \l _Toc22613 </w:instrText>
      </w:r>
      <w:r>
        <w:rPr>
          <w:rFonts w:ascii="仿宋" w:hAnsi="仿宋"/>
          <w:szCs w:val="28"/>
        </w:rPr>
        <w:fldChar w:fldCharType="separate"/>
      </w:r>
      <w:r>
        <w:rPr>
          <w:rFonts w:hint="eastAsia"/>
        </w:rPr>
        <w:t>3 工作内容</w:t>
      </w:r>
      <w:r>
        <w:tab/>
      </w:r>
      <w:r>
        <w:fldChar w:fldCharType="begin"/>
      </w:r>
      <w:r>
        <w:instrText xml:space="preserve"> PAGEREF _Toc22613 \h </w:instrText>
      </w:r>
      <w:r>
        <w:fldChar w:fldCharType="separate"/>
      </w:r>
      <w:r>
        <w:t>8</w:t>
      </w:r>
      <w:r>
        <w:fldChar w:fldCharType="end"/>
      </w:r>
      <w:r>
        <w:rPr>
          <w:rFonts w:ascii="仿宋" w:hAnsi="仿宋"/>
          <w:color w:val="auto"/>
          <w:szCs w:val="28"/>
        </w:rPr>
        <w:fldChar w:fldCharType="end"/>
      </w:r>
    </w:p>
    <w:p w14:paraId="314FAEFD">
      <w:pPr>
        <w:pStyle w:val="14"/>
        <w:tabs>
          <w:tab w:val="right" w:leader="dot" w:pos="8306"/>
          <w:tab w:val="clear" w:pos="8296"/>
        </w:tabs>
      </w:pPr>
      <w:r>
        <w:rPr>
          <w:rFonts w:ascii="仿宋" w:hAnsi="仿宋"/>
          <w:color w:val="auto"/>
          <w:szCs w:val="28"/>
        </w:rPr>
        <w:fldChar w:fldCharType="begin"/>
      </w:r>
      <w:r>
        <w:rPr>
          <w:rFonts w:ascii="仿宋" w:hAnsi="仿宋"/>
          <w:szCs w:val="28"/>
        </w:rPr>
        <w:instrText xml:space="preserve"> HYPERLINK \l _Toc28834 </w:instrText>
      </w:r>
      <w:r>
        <w:rPr>
          <w:rFonts w:ascii="仿宋" w:hAnsi="仿宋"/>
          <w:szCs w:val="28"/>
        </w:rPr>
        <w:fldChar w:fldCharType="separate"/>
      </w:r>
      <w:r>
        <w:rPr>
          <w:rFonts w:hint="eastAsia"/>
        </w:rPr>
        <w:t>3.1 具体工作</w:t>
      </w:r>
      <w:r>
        <w:tab/>
      </w:r>
      <w:r>
        <w:fldChar w:fldCharType="begin"/>
      </w:r>
      <w:r>
        <w:instrText xml:space="preserve"> PAGEREF _Toc28834 \h </w:instrText>
      </w:r>
      <w:r>
        <w:fldChar w:fldCharType="separate"/>
      </w:r>
      <w:r>
        <w:t>8</w:t>
      </w:r>
      <w:r>
        <w:fldChar w:fldCharType="end"/>
      </w:r>
      <w:r>
        <w:rPr>
          <w:rFonts w:ascii="仿宋" w:hAnsi="仿宋"/>
          <w:color w:val="auto"/>
          <w:szCs w:val="28"/>
        </w:rPr>
        <w:fldChar w:fldCharType="end"/>
      </w:r>
    </w:p>
    <w:p w14:paraId="0FB6C524">
      <w:pPr>
        <w:pStyle w:val="14"/>
        <w:tabs>
          <w:tab w:val="right" w:leader="dot" w:pos="8306"/>
          <w:tab w:val="clear" w:pos="8296"/>
        </w:tabs>
      </w:pPr>
      <w:r>
        <w:rPr>
          <w:rFonts w:ascii="仿宋" w:hAnsi="仿宋"/>
          <w:color w:val="auto"/>
          <w:szCs w:val="28"/>
        </w:rPr>
        <w:fldChar w:fldCharType="begin"/>
      </w:r>
      <w:r>
        <w:rPr>
          <w:rFonts w:ascii="仿宋" w:hAnsi="仿宋"/>
          <w:szCs w:val="28"/>
        </w:rPr>
        <w:instrText xml:space="preserve"> HYPERLINK \l _Toc26561 </w:instrText>
      </w:r>
      <w:r>
        <w:rPr>
          <w:rFonts w:ascii="仿宋" w:hAnsi="仿宋"/>
          <w:szCs w:val="28"/>
        </w:rPr>
        <w:fldChar w:fldCharType="separate"/>
      </w:r>
      <w:r>
        <w:rPr>
          <w:rFonts w:hint="eastAsia"/>
        </w:rPr>
        <w:t>3.2 主要成果</w:t>
      </w:r>
      <w:r>
        <w:tab/>
      </w:r>
      <w:r>
        <w:fldChar w:fldCharType="begin"/>
      </w:r>
      <w:r>
        <w:instrText xml:space="preserve"> PAGEREF _Toc26561 \h </w:instrText>
      </w:r>
      <w:r>
        <w:fldChar w:fldCharType="separate"/>
      </w:r>
      <w:r>
        <w:t>12</w:t>
      </w:r>
      <w:r>
        <w:fldChar w:fldCharType="end"/>
      </w:r>
      <w:r>
        <w:rPr>
          <w:rFonts w:ascii="仿宋" w:hAnsi="仿宋"/>
          <w:color w:val="auto"/>
          <w:szCs w:val="28"/>
        </w:rPr>
        <w:fldChar w:fldCharType="end"/>
      </w:r>
    </w:p>
    <w:p w14:paraId="0F7B7925">
      <w:pPr>
        <w:spacing w:line="360" w:lineRule="auto"/>
        <w:ind w:firstLine="640"/>
        <w:jc w:val="center"/>
        <w:rPr>
          <w:rFonts w:hint="eastAsia" w:ascii="仿宋" w:hAnsi="仿宋"/>
          <w:color w:val="auto"/>
          <w:szCs w:val="28"/>
        </w:rPr>
      </w:pPr>
      <w:r>
        <w:rPr>
          <w:rFonts w:ascii="仿宋" w:hAnsi="仿宋"/>
          <w:color w:val="auto"/>
          <w:szCs w:val="28"/>
        </w:rPr>
        <w:fldChar w:fldCharType="end"/>
      </w:r>
    </w:p>
    <w:p w14:paraId="30C29CA1">
      <w:pPr>
        <w:spacing w:line="360" w:lineRule="auto"/>
        <w:ind w:firstLine="560"/>
        <w:jc w:val="center"/>
        <w:rPr>
          <w:rFonts w:hint="eastAsia" w:ascii="仿宋" w:hAnsi="仿宋"/>
          <w:color w:val="auto"/>
          <w:szCs w:val="28"/>
        </w:rPr>
      </w:pPr>
    </w:p>
    <w:p w14:paraId="36BC0CEA">
      <w:pPr>
        <w:spacing w:line="360" w:lineRule="auto"/>
        <w:ind w:firstLine="560"/>
        <w:jc w:val="center"/>
        <w:rPr>
          <w:rFonts w:hint="eastAsia" w:ascii="仿宋" w:hAnsi="仿宋"/>
          <w:color w:val="auto"/>
          <w:szCs w:val="28"/>
        </w:rPr>
      </w:pPr>
    </w:p>
    <w:p w14:paraId="38725E2C">
      <w:pPr>
        <w:spacing w:line="360" w:lineRule="auto"/>
        <w:ind w:firstLine="482"/>
        <w:jc w:val="center"/>
        <w:rPr>
          <w:rFonts w:hint="eastAsia" w:ascii="仿宋" w:hAnsi="仿宋"/>
          <w:b/>
          <w:bCs/>
          <w:color w:val="auto"/>
          <w:sz w:val="24"/>
          <w:szCs w:val="24"/>
        </w:rPr>
      </w:pPr>
    </w:p>
    <w:p w14:paraId="46E49850">
      <w:pPr>
        <w:spacing w:line="360" w:lineRule="auto"/>
        <w:ind w:firstLine="482"/>
        <w:jc w:val="center"/>
        <w:rPr>
          <w:rFonts w:hint="eastAsia" w:ascii="仿宋" w:hAnsi="仿宋"/>
          <w:b/>
          <w:bCs/>
          <w:color w:val="auto"/>
          <w:sz w:val="24"/>
          <w:szCs w:val="24"/>
        </w:rPr>
      </w:pPr>
    </w:p>
    <w:p w14:paraId="0FC05047">
      <w:pPr>
        <w:spacing w:line="360" w:lineRule="auto"/>
        <w:ind w:firstLine="482"/>
        <w:jc w:val="center"/>
        <w:rPr>
          <w:rFonts w:hint="eastAsia" w:ascii="仿宋" w:hAnsi="仿宋"/>
          <w:b/>
          <w:bCs/>
          <w:color w:val="auto"/>
          <w:sz w:val="24"/>
          <w:szCs w:val="24"/>
        </w:rPr>
      </w:pPr>
    </w:p>
    <w:p w14:paraId="431D1D41">
      <w:pPr>
        <w:spacing w:line="360" w:lineRule="auto"/>
        <w:ind w:firstLine="482"/>
        <w:jc w:val="center"/>
        <w:rPr>
          <w:rFonts w:hint="eastAsia" w:ascii="仿宋" w:hAnsi="仿宋"/>
          <w:b/>
          <w:bCs/>
          <w:color w:val="auto"/>
          <w:sz w:val="24"/>
          <w:szCs w:val="24"/>
        </w:rPr>
      </w:pPr>
    </w:p>
    <w:p w14:paraId="41AA14AC">
      <w:pPr>
        <w:spacing w:line="360" w:lineRule="auto"/>
        <w:ind w:firstLine="482"/>
        <w:jc w:val="center"/>
        <w:rPr>
          <w:rFonts w:hint="eastAsia" w:ascii="仿宋" w:hAnsi="仿宋"/>
          <w:b/>
          <w:bCs/>
          <w:color w:val="auto"/>
          <w:sz w:val="24"/>
          <w:szCs w:val="24"/>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440" w:right="1800" w:bottom="1440" w:left="1800" w:header="851" w:footer="992" w:gutter="0"/>
          <w:pgNumType w:start="1"/>
          <w:cols w:space="425" w:num="1"/>
          <w:docGrid w:type="lines" w:linePitch="312" w:charSpace="0"/>
        </w:sectPr>
      </w:pPr>
    </w:p>
    <w:p w14:paraId="6791A4D6">
      <w:pPr>
        <w:pStyle w:val="29"/>
        <w:rPr>
          <w:rFonts w:hint="eastAsia"/>
          <w:color w:val="auto"/>
        </w:rPr>
        <w:sectPr>
          <w:footerReference r:id="rId11" w:type="default"/>
          <w:type w:val="continuous"/>
          <w:pgSz w:w="11906" w:h="16838"/>
          <w:pgMar w:top="1440" w:right="1800" w:bottom="1440" w:left="1800" w:header="851" w:footer="992" w:gutter="0"/>
          <w:pgNumType w:start="0"/>
          <w:cols w:space="425" w:num="1"/>
          <w:docGrid w:type="lines" w:linePitch="312" w:charSpace="0"/>
        </w:sectPr>
      </w:pPr>
      <w:bookmarkStart w:id="0" w:name="_Toc15486178"/>
    </w:p>
    <w:p w14:paraId="23494375">
      <w:pPr>
        <w:pStyle w:val="2"/>
        <w:numPr>
          <w:ilvl w:val="0"/>
          <w:numId w:val="2"/>
        </w:numPr>
        <w:rPr>
          <w:color w:val="auto"/>
        </w:rPr>
      </w:pPr>
      <w:bookmarkStart w:id="1" w:name="_Toc4035"/>
      <w:bookmarkStart w:id="2" w:name="_Toc14833"/>
      <w:bookmarkStart w:id="3" w:name="_Toc1774"/>
      <w:r>
        <w:rPr>
          <w:rFonts w:hint="eastAsia"/>
          <w:color w:val="auto"/>
        </w:rPr>
        <w:t>项目概况</w:t>
      </w:r>
      <w:bookmarkEnd w:id="1"/>
      <w:bookmarkEnd w:id="2"/>
      <w:bookmarkEnd w:id="3"/>
    </w:p>
    <w:p w14:paraId="221550B1">
      <w:pPr>
        <w:pStyle w:val="3"/>
        <w:rPr>
          <w:color w:val="auto"/>
        </w:rPr>
      </w:pPr>
      <w:bookmarkStart w:id="4" w:name="_Toc26276"/>
      <w:bookmarkStart w:id="5" w:name="_Toc9047"/>
      <w:bookmarkStart w:id="6" w:name="_Toc16990"/>
      <w:r>
        <w:rPr>
          <w:rFonts w:hint="eastAsia"/>
          <w:color w:val="auto"/>
          <w:lang w:val="en-US" w:eastAsia="zh-CN"/>
        </w:rPr>
        <w:t>农转用报批材料技术审查</w:t>
      </w:r>
      <w:bookmarkEnd w:id="4"/>
      <w:bookmarkEnd w:id="5"/>
      <w:bookmarkEnd w:id="6"/>
    </w:p>
    <w:p w14:paraId="3A4D9395">
      <w:pPr>
        <w:ind w:firstLine="560"/>
        <w:rPr>
          <w:rFonts w:hint="eastAsia"/>
          <w:color w:val="auto"/>
          <w:lang w:eastAsia="zh-CN"/>
        </w:rPr>
      </w:pPr>
      <w:r>
        <w:rPr>
          <w:rFonts w:hint="eastAsia"/>
          <w:color w:val="auto"/>
          <w:lang w:val="en-US" w:eastAsia="zh-CN"/>
        </w:rPr>
        <w:t>根据</w:t>
      </w:r>
      <w:r>
        <w:rPr>
          <w:rFonts w:hint="eastAsia"/>
          <w:color w:val="auto"/>
        </w:rPr>
        <w:t>《中华人民共和国土地管理法》</w:t>
      </w:r>
      <w:r>
        <w:rPr>
          <w:rFonts w:hint="eastAsia"/>
          <w:color w:val="auto"/>
          <w:lang w:eastAsia="zh-CN"/>
        </w:rPr>
        <w:t>、《</w:t>
      </w:r>
      <w:r>
        <w:rPr>
          <w:rFonts w:hint="eastAsia"/>
          <w:color w:val="auto"/>
          <w:lang w:val="en-US" w:eastAsia="zh-CN"/>
        </w:rPr>
        <w:t>广东省建设用地审查报批办法</w:t>
      </w:r>
      <w:r>
        <w:rPr>
          <w:rFonts w:hint="eastAsia"/>
          <w:color w:val="auto"/>
          <w:lang w:eastAsia="zh-CN"/>
        </w:rPr>
        <w:t>》、《广州市人民政府关于将部分市级行政职权调整由花都区实施的决定》（</w:t>
      </w:r>
      <w:r>
        <w:rPr>
          <w:rFonts w:hint="eastAsia"/>
          <w:color w:val="auto"/>
          <w:lang w:val="en-US" w:eastAsia="zh-CN"/>
        </w:rPr>
        <w:t>广州市政府令第224号</w:t>
      </w:r>
      <w:r>
        <w:rPr>
          <w:rFonts w:hint="eastAsia"/>
          <w:color w:val="auto"/>
          <w:lang w:eastAsia="zh-CN"/>
        </w:rPr>
        <w:t>），根据省、市审查要点和模板等相关要求，依托省管制系统，协助开展广州市</w:t>
      </w:r>
      <w:r>
        <w:rPr>
          <w:rFonts w:hint="eastAsia"/>
          <w:color w:val="auto"/>
          <w:lang w:val="en-US" w:eastAsia="zh-CN"/>
        </w:rPr>
        <w:t>花都</w:t>
      </w:r>
      <w:r>
        <w:rPr>
          <w:rFonts w:hint="eastAsia"/>
          <w:color w:val="auto"/>
          <w:lang w:eastAsia="zh-CN"/>
        </w:rPr>
        <w:t>区</w:t>
      </w:r>
      <w:r>
        <w:rPr>
          <w:rFonts w:hint="eastAsia"/>
          <w:color w:val="auto"/>
          <w:lang w:val="en-US" w:eastAsia="zh-CN"/>
        </w:rPr>
        <w:t>用地报批项目组卷材料技术初审及</w:t>
      </w:r>
      <w:r>
        <w:rPr>
          <w:rFonts w:hint="eastAsia"/>
          <w:color w:val="auto"/>
          <w:lang w:eastAsia="zh-CN"/>
        </w:rPr>
        <w:t>审批权范围内的农用地转用和</w:t>
      </w:r>
      <w:r>
        <w:rPr>
          <w:rFonts w:hint="eastAsia"/>
          <w:color w:val="auto"/>
          <w:lang w:val="en-US" w:eastAsia="zh-CN"/>
        </w:rPr>
        <w:t>未利用地转用</w:t>
      </w:r>
      <w:r>
        <w:rPr>
          <w:rFonts w:hint="eastAsia"/>
          <w:color w:val="auto"/>
          <w:lang w:eastAsia="zh-CN"/>
        </w:rPr>
        <w:t>报批技术初审工作，出具用地报批技术审查意见、协助做好农用地转用相关问题的技术指导等，确保用地报批符合规定。</w:t>
      </w:r>
    </w:p>
    <w:p w14:paraId="356F3E91">
      <w:pPr>
        <w:ind w:firstLine="560"/>
        <w:rPr>
          <w:rFonts w:hint="default"/>
          <w:color w:val="auto"/>
          <w:lang w:val="en-US" w:eastAsia="zh-CN"/>
        </w:rPr>
      </w:pPr>
      <w:r>
        <w:rPr>
          <w:rFonts w:hint="eastAsia"/>
          <w:color w:val="auto"/>
          <w:lang w:val="en-US" w:eastAsia="zh-CN"/>
        </w:rPr>
        <w:t>根据2025年工作开展情况，全年上报农用地转用、未利用地转用报批案件共25宗。现因行政职权调整及花都区工作安排，需协助科室对农用地转用和未利用地转用报批材料合规性、合法性、准确性、完整性等方面进行技术初审。</w:t>
      </w:r>
    </w:p>
    <w:p w14:paraId="2C1A24A4">
      <w:pPr>
        <w:pStyle w:val="3"/>
        <w:rPr>
          <w:color w:val="auto"/>
        </w:rPr>
      </w:pPr>
      <w:bookmarkStart w:id="7" w:name="_Toc26507"/>
      <w:bookmarkStart w:id="8" w:name="_Toc18788"/>
      <w:bookmarkStart w:id="9" w:name="_Toc7537"/>
      <w:r>
        <w:rPr>
          <w:color w:val="auto"/>
        </w:rPr>
        <w:t>土地征收成片开发审查技术服务</w:t>
      </w:r>
      <w:bookmarkEnd w:id="7"/>
    </w:p>
    <w:p w14:paraId="36C48534">
      <w:pPr>
        <w:ind w:firstLine="560"/>
        <w:rPr>
          <w:rFonts w:hint="eastAsia"/>
          <w:color w:val="auto"/>
          <w:lang w:eastAsia="zh-CN"/>
        </w:rPr>
      </w:pPr>
      <w:r>
        <w:rPr>
          <w:rFonts w:hint="eastAsia"/>
          <w:color w:val="auto"/>
          <w:lang w:eastAsia="zh-CN"/>
        </w:rPr>
        <w:t>依据国土空间规划、土地征收成片开发相关标准及省市审批管理要求，开展土地征收成片开发全流程技术审查与支撑服务工作。系统审查片区开发必要性、公益性用地占比等硬性指标，梳理片区拟建项目清单，科学校核开发时序、年度征收实施计划的合理性。</w:t>
      </w:r>
      <w:r>
        <w:rPr>
          <w:rFonts w:hint="eastAsia"/>
          <w:color w:val="auto"/>
          <w:lang w:val="en-US" w:eastAsia="zh-CN"/>
        </w:rPr>
        <w:t>并</w:t>
      </w:r>
      <w:r>
        <w:rPr>
          <w:rFonts w:hint="eastAsia"/>
          <w:color w:val="auto"/>
          <w:lang w:eastAsia="zh-CN"/>
        </w:rPr>
        <w:t>配合主管部门开展部门联审、逐条校核方案文本、图件、台账的完整性与规范性，针对审查发现的问题提出整改优化意见，完善成片开发方案成果，编制正式技术审查报告，全程协助完成方案逐级上报、复核答疑、补正完善等报批保障工作，确保成片开发方案符合审批标准、顺利通过审查落地。</w:t>
      </w:r>
    </w:p>
    <w:p w14:paraId="74580E98">
      <w:pPr>
        <w:pStyle w:val="3"/>
        <w:rPr>
          <w:color w:val="auto"/>
        </w:rPr>
      </w:pPr>
      <w:bookmarkStart w:id="10" w:name="_Toc18301"/>
      <w:r>
        <w:rPr>
          <w:rFonts w:hint="eastAsia"/>
          <w:color w:val="auto"/>
          <w:lang w:val="en-US" w:eastAsia="zh-CN"/>
        </w:rPr>
        <w:t>批前工作技术审查</w:t>
      </w:r>
      <w:bookmarkEnd w:id="8"/>
      <w:bookmarkEnd w:id="9"/>
      <w:bookmarkEnd w:id="10"/>
    </w:p>
    <w:p w14:paraId="26F8EA2B">
      <w:pPr>
        <w:ind w:firstLine="560"/>
        <w:rPr>
          <w:rFonts w:hint="eastAsia"/>
          <w:color w:val="auto"/>
          <w:lang w:val="en-US" w:eastAsia="zh-CN"/>
        </w:rPr>
      </w:pPr>
      <w:r>
        <w:rPr>
          <w:rFonts w:hint="eastAsia"/>
          <w:color w:val="auto"/>
          <w:lang w:val="en-US" w:eastAsia="zh-CN"/>
        </w:rPr>
        <w:t>根据《中华人民共和国土地管理法》及相关政策法规要求，项目涉及征收农村集体建设用地需要发布征地预公告、征地补偿安置公告。结合花都区工作安排，收到用地单位预公告申请后发布征地预公告、完成现状调查和社稳风险评估工作后发布征地补偿安置公告，对社稳审查意见、协议签订情况表、实质性核查说明进行技术审查。随着花都区近几年用地报批项目数量增长，上述工作需要专人跟进审核。因此，根据管制科工作安排，安排专人对花都区征地预公告、征地补偿安置公告及相关补充公告、社稳审查意见、协议签订情况表、实质性核查说明进行初审。此外，发布各公告后跟进信息公开挂网工作。</w:t>
      </w:r>
    </w:p>
    <w:p w14:paraId="1D1DADE9">
      <w:pPr>
        <w:ind w:firstLine="560"/>
        <w:rPr>
          <w:rFonts w:hint="default"/>
          <w:color w:val="auto"/>
          <w:lang w:val="en-US" w:eastAsia="zh-CN"/>
        </w:rPr>
      </w:pPr>
      <w:r>
        <w:rPr>
          <w:rFonts w:hint="eastAsia"/>
          <w:color w:val="auto"/>
          <w:highlight w:val="none"/>
          <w:lang w:val="en-US" w:eastAsia="zh-CN"/>
        </w:rPr>
        <w:t>根据2025年工作开展情况，全年发布征地预公告84宗、征地补偿安置公告91宗、补充公告36宗，完成社稳审查意见核查38宗、使用权人协议签订情况表87宗、实质性核查说明87宗，总计423宗。</w:t>
      </w:r>
      <w:r>
        <w:rPr>
          <w:rFonts w:hint="eastAsia"/>
          <w:color w:val="auto"/>
          <w:lang w:val="en-US" w:eastAsia="zh-CN"/>
        </w:rPr>
        <w:t>现需结合花都区工作安排，协助科室审核征地预公告、征地补偿安置公告、相关补充公告、社稳审查意见、使用权人协议签订情况表、实质性核查说明，确保项目准确合规，符合报批工作相关要求。</w:t>
      </w:r>
    </w:p>
    <w:p w14:paraId="175F51B5">
      <w:pPr>
        <w:pStyle w:val="3"/>
        <w:rPr>
          <w:color w:val="auto"/>
        </w:rPr>
      </w:pPr>
      <w:bookmarkStart w:id="11" w:name="_Toc18096"/>
      <w:bookmarkStart w:id="12" w:name="_Toc5359"/>
      <w:bookmarkStart w:id="13" w:name="_Toc30568"/>
      <w:r>
        <w:rPr>
          <w:rFonts w:hint="eastAsia"/>
          <w:color w:val="auto"/>
          <w:lang w:val="en-US" w:eastAsia="zh-CN"/>
        </w:rPr>
        <w:t>批后实施技术审查</w:t>
      </w:r>
      <w:bookmarkEnd w:id="11"/>
      <w:bookmarkEnd w:id="12"/>
      <w:bookmarkEnd w:id="13"/>
    </w:p>
    <w:p w14:paraId="74439A35">
      <w:pPr>
        <w:ind w:firstLine="560"/>
        <w:rPr>
          <w:rFonts w:hint="default"/>
          <w:color w:val="auto"/>
          <w:lang w:val="en-US" w:eastAsia="zh-CN"/>
        </w:rPr>
      </w:pPr>
      <w:r>
        <w:rPr>
          <w:rFonts w:hint="eastAsia"/>
          <w:color w:val="auto"/>
          <w:lang w:val="en-US" w:eastAsia="zh-CN"/>
        </w:rPr>
        <w:t>根据《中华人民共和国土地管理法》及相关政策法规要求，项目用地取得批文后开展批后实施工作。结合花都区工作安排，协助科室代拟、审核批后实施通知及耕地占用税缴费通知，并通知项目经办人员领取材料。取得省政府批复后代拟、审核并发布征地公告。</w:t>
      </w:r>
    </w:p>
    <w:p w14:paraId="53E80131">
      <w:pPr>
        <w:ind w:firstLine="560"/>
        <w:rPr>
          <w:rFonts w:hint="default"/>
          <w:color w:val="auto"/>
          <w:lang w:val="en-US" w:eastAsia="zh-CN"/>
        </w:rPr>
      </w:pPr>
      <w:r>
        <w:rPr>
          <w:rFonts w:hint="eastAsia"/>
          <w:color w:val="auto"/>
          <w:highlight w:val="none"/>
          <w:lang w:val="en-US" w:eastAsia="zh-CN"/>
        </w:rPr>
        <w:t>根据2025年工作开展情况，全年代拟并发布征地公告78宗，代拟批后实施通知108宗、耕地占用税通知单及送达回证113宗，总共299宗。现需结合花都区工作安排，协助科室代拟、审核并跟进批后实施相关工作完成情况，并</w:t>
      </w:r>
      <w:r>
        <w:rPr>
          <w:rFonts w:hint="eastAsia"/>
          <w:color w:val="auto"/>
          <w:lang w:val="en-US" w:eastAsia="zh-CN"/>
        </w:rPr>
        <w:t>定期完成项目材料归档，形成项目台账。</w:t>
      </w:r>
    </w:p>
    <w:p w14:paraId="65D39AB3">
      <w:pPr>
        <w:keepNext w:val="0"/>
        <w:keepLines w:val="0"/>
        <w:pageBreakBefore w:val="0"/>
        <w:widowControl w:val="0"/>
        <w:kinsoku/>
        <w:wordWrap/>
        <w:overflowPunct/>
        <w:topLinePunct w:val="0"/>
        <w:autoSpaceDE/>
        <w:autoSpaceDN/>
        <w:bidi w:val="0"/>
        <w:adjustRightInd/>
        <w:snapToGrid/>
        <w:ind w:firstLine="560"/>
        <w:textAlignment w:val="auto"/>
        <w:rPr>
          <w:rFonts w:hint="eastAsia"/>
          <w:color w:val="auto"/>
          <w:lang w:val="en-US" w:eastAsia="zh-CN"/>
        </w:rPr>
      </w:pPr>
      <w:r>
        <w:rPr>
          <w:rFonts w:hint="eastAsia"/>
          <w:color w:val="auto"/>
        </w:rPr>
        <w:t>根据</w:t>
      </w:r>
      <w:r>
        <w:rPr>
          <w:rFonts w:hint="eastAsia"/>
          <w:color w:val="auto"/>
          <w:lang w:eastAsia="zh-CN"/>
        </w:rPr>
        <w:t>《</w:t>
      </w:r>
      <w:r>
        <w:rPr>
          <w:rFonts w:hint="eastAsia"/>
          <w:color w:val="auto"/>
          <w:lang w:val="en-US" w:eastAsia="zh-CN"/>
        </w:rPr>
        <w:t>广州市规划和自然资源局关于衔接做好用地结案工作的通知</w:t>
      </w:r>
      <w:r>
        <w:rPr>
          <w:rFonts w:hint="eastAsia"/>
          <w:color w:val="auto"/>
          <w:lang w:eastAsia="zh-CN"/>
        </w:rPr>
        <w:t>》、《</w:t>
      </w:r>
      <w:r>
        <w:rPr>
          <w:rFonts w:hint="eastAsia"/>
          <w:color w:val="auto"/>
          <w:lang w:val="en-US" w:eastAsia="zh-CN"/>
        </w:rPr>
        <w:t>广州市规划和自然资源局关于印发进一步优化审批服务机制惠企利民促进经济社会发展若干措施（第二批）的通知</w:t>
      </w:r>
      <w:r>
        <w:rPr>
          <w:rFonts w:hint="eastAsia"/>
          <w:color w:val="auto"/>
          <w:lang w:eastAsia="zh-CN"/>
        </w:rPr>
        <w:t>》</w:t>
      </w:r>
      <w:r>
        <w:rPr>
          <w:rFonts w:hint="eastAsia"/>
          <w:color w:val="auto"/>
        </w:rPr>
        <w:t>及相关政策法规要求，</w:t>
      </w:r>
      <w:r>
        <w:rPr>
          <w:rFonts w:hint="eastAsia"/>
          <w:color w:val="auto"/>
          <w:lang w:val="en-US" w:eastAsia="zh-CN"/>
        </w:rPr>
        <w:t>由区分局核查项目地块的征地补偿税费缴交、产权注销等情况，属于政府储备用地的在完成实物储备并取得地籍调查成果后，出具已完成批后实施的意见，作为实物储备的证明。</w:t>
      </w:r>
    </w:p>
    <w:p w14:paraId="61CE574F">
      <w:pPr>
        <w:keepNext w:val="0"/>
        <w:keepLines w:val="0"/>
        <w:pageBreakBefore w:val="0"/>
        <w:widowControl w:val="0"/>
        <w:kinsoku/>
        <w:wordWrap/>
        <w:overflowPunct/>
        <w:topLinePunct w:val="0"/>
        <w:autoSpaceDE/>
        <w:autoSpaceDN/>
        <w:bidi w:val="0"/>
        <w:adjustRightInd/>
        <w:snapToGrid/>
        <w:ind w:firstLine="560"/>
        <w:textAlignment w:val="auto"/>
        <w:rPr>
          <w:rFonts w:hint="default" w:eastAsia="仿宋"/>
          <w:color w:val="auto"/>
          <w:lang w:val="en-US" w:eastAsia="zh-CN"/>
        </w:rPr>
      </w:pPr>
      <w:r>
        <w:rPr>
          <w:rFonts w:hint="eastAsia"/>
          <w:color w:val="auto"/>
          <w:lang w:val="en-US" w:eastAsia="zh-CN"/>
        </w:rPr>
        <w:t>根据2025年工作开展情况，实物储备已完成批后实施的意见的技术审查共31宗。现需</w:t>
      </w:r>
      <w:r>
        <w:rPr>
          <w:rFonts w:hint="eastAsia"/>
          <w:color w:val="auto"/>
        </w:rPr>
        <w:t>结合花都区工作安排，协助科室</w:t>
      </w:r>
      <w:r>
        <w:rPr>
          <w:rFonts w:hint="eastAsia"/>
          <w:color w:val="auto"/>
          <w:lang w:val="en-US" w:eastAsia="zh-CN"/>
        </w:rPr>
        <w:t>核查批后实施相关程序完成情况，</w:t>
      </w:r>
      <w:r>
        <w:rPr>
          <w:rFonts w:hint="eastAsia"/>
          <w:color w:val="auto"/>
        </w:rPr>
        <w:t>代拟</w:t>
      </w:r>
      <w:r>
        <w:rPr>
          <w:rFonts w:hint="eastAsia"/>
          <w:color w:val="auto"/>
          <w:lang w:val="en-US" w:eastAsia="zh-CN"/>
        </w:rPr>
        <w:t>已完成</w:t>
      </w:r>
      <w:r>
        <w:rPr>
          <w:rFonts w:hint="eastAsia"/>
          <w:color w:val="auto"/>
        </w:rPr>
        <w:t>批后实施</w:t>
      </w:r>
      <w:r>
        <w:rPr>
          <w:rFonts w:hint="eastAsia"/>
          <w:color w:val="auto"/>
          <w:lang w:eastAsia="zh-CN"/>
        </w:rPr>
        <w:t>的</w:t>
      </w:r>
      <w:r>
        <w:rPr>
          <w:rFonts w:hint="eastAsia"/>
          <w:color w:val="auto"/>
          <w:lang w:val="en-US" w:eastAsia="zh-CN"/>
        </w:rPr>
        <w:t>意见，并进行相关资料归集。</w:t>
      </w:r>
    </w:p>
    <w:p w14:paraId="0C57CCC2">
      <w:pPr>
        <w:pStyle w:val="3"/>
        <w:rPr>
          <w:color w:val="auto"/>
        </w:rPr>
      </w:pPr>
      <w:bookmarkStart w:id="14" w:name="_Toc6430"/>
      <w:bookmarkStart w:id="15" w:name="_Toc5373"/>
      <w:bookmarkStart w:id="16" w:name="_Toc32207"/>
      <w:r>
        <w:rPr>
          <w:rFonts w:hint="eastAsia"/>
          <w:color w:val="auto"/>
          <w:lang w:val="en-US" w:eastAsia="zh-CN"/>
        </w:rPr>
        <w:t>批文</w:t>
      </w:r>
      <w:r>
        <w:rPr>
          <w:rFonts w:hint="eastAsia"/>
          <w:color w:val="auto"/>
        </w:rPr>
        <w:t>红线核查</w:t>
      </w:r>
      <w:r>
        <w:rPr>
          <w:rFonts w:hint="eastAsia"/>
          <w:color w:val="auto"/>
          <w:lang w:val="en-US" w:eastAsia="zh-CN"/>
        </w:rPr>
        <w:t>及相关数据建库</w:t>
      </w:r>
      <w:bookmarkEnd w:id="14"/>
      <w:bookmarkEnd w:id="15"/>
      <w:bookmarkEnd w:id="16"/>
    </w:p>
    <w:p w14:paraId="501A7670">
      <w:pPr>
        <w:ind w:firstLine="560"/>
        <w:rPr>
          <w:rFonts w:hint="eastAsia"/>
          <w:color w:val="auto"/>
        </w:rPr>
      </w:pPr>
      <w:r>
        <w:rPr>
          <w:rFonts w:hint="eastAsia"/>
          <w:color w:val="auto"/>
        </w:rPr>
        <w:t>根据《中华人民共和国土地管理法》及相关政策法规要求，为确保各类项目用地空间边界合法合规，实现项目范围与已批界线精准划分，需对各类项目红线开展</w:t>
      </w:r>
      <w:r>
        <w:rPr>
          <w:rFonts w:hint="eastAsia"/>
          <w:color w:val="auto"/>
          <w:lang w:val="en-US" w:eastAsia="zh-CN"/>
        </w:rPr>
        <w:t>历史批文</w:t>
      </w:r>
      <w:r>
        <w:rPr>
          <w:rFonts w:hint="eastAsia"/>
          <w:color w:val="auto"/>
        </w:rPr>
        <w:t>空间核查。</w:t>
      </w:r>
    </w:p>
    <w:p w14:paraId="03069E7F">
      <w:pPr>
        <w:ind w:firstLine="560"/>
        <w:rPr>
          <w:rFonts w:hint="eastAsia"/>
          <w:color w:val="auto"/>
        </w:rPr>
      </w:pPr>
      <w:r>
        <w:rPr>
          <w:rFonts w:hint="eastAsia"/>
          <w:color w:val="auto"/>
          <w:lang w:val="en-US" w:eastAsia="zh-CN"/>
        </w:rPr>
        <w:t>另外</w:t>
      </w:r>
      <w:r>
        <w:rPr>
          <w:rFonts w:hint="eastAsia"/>
          <w:color w:val="auto"/>
        </w:rPr>
        <w:t>，现有批文红线数据库受历史测绘标准不一、坐标基准更迭等因素影响，存在部分面积偏差、坐标偏移等问题，亟需开展数据校正与规范化治理。</w:t>
      </w:r>
      <w:r>
        <w:rPr>
          <w:rFonts w:hint="eastAsia"/>
          <w:color w:val="auto"/>
          <w:lang w:val="en-US" w:eastAsia="zh-CN"/>
        </w:rPr>
        <w:t>同时，需及时整理新增建设用地、临时用地等批复红线，形成规范数据库。</w:t>
      </w:r>
    </w:p>
    <w:p w14:paraId="007E2762">
      <w:pPr>
        <w:ind w:firstLine="560"/>
        <w:rPr>
          <w:rFonts w:hint="eastAsia"/>
          <w:color w:val="auto"/>
          <w:lang w:val="en-US" w:eastAsia="zh-CN"/>
        </w:rPr>
      </w:pPr>
      <w:r>
        <w:rPr>
          <w:rFonts w:hint="eastAsia"/>
          <w:color w:val="auto"/>
          <w:lang w:val="en-US" w:eastAsia="zh-CN"/>
        </w:rPr>
        <w:t>根据2025年工作开展情况，全年批前组卷核查约190宗、权属会办核查135宗、农房拆旧建新核查135宗、规划选址核查33宗、建设用地流转情况核查15宗、执法图斑核查12宗、外单位来函咨询166宗、其他红线核查事项256宗，总计942宗。</w:t>
      </w:r>
    </w:p>
    <w:p w14:paraId="3DCF118A">
      <w:pPr>
        <w:ind w:firstLine="0" w:firstLineChars="0"/>
        <w:rPr>
          <w:color w:val="auto"/>
        </w:rPr>
      </w:pPr>
      <w:r>
        <w:rPr>
          <w:color w:val="auto"/>
        </w:rPr>
        <w:br w:type="page"/>
      </w:r>
    </w:p>
    <w:p w14:paraId="03333A71">
      <w:pPr>
        <w:pStyle w:val="2"/>
        <w:rPr>
          <w:color w:val="auto"/>
        </w:rPr>
      </w:pPr>
      <w:bookmarkStart w:id="17" w:name="_Toc23014"/>
      <w:bookmarkStart w:id="18" w:name="_Toc20882"/>
      <w:bookmarkStart w:id="19" w:name="_Toc22483"/>
      <w:r>
        <w:rPr>
          <w:color w:val="auto"/>
        </w:rPr>
        <w:t>工作</w:t>
      </w:r>
      <w:r>
        <w:rPr>
          <w:rFonts w:hint="eastAsia"/>
          <w:color w:val="auto"/>
        </w:rPr>
        <w:t>依据</w:t>
      </w:r>
      <w:bookmarkEnd w:id="17"/>
      <w:bookmarkEnd w:id="18"/>
      <w:bookmarkEnd w:id="19"/>
    </w:p>
    <w:p w14:paraId="17B0BF6D">
      <w:pPr>
        <w:pStyle w:val="3"/>
        <w:rPr>
          <w:color w:val="auto"/>
        </w:rPr>
      </w:pPr>
      <w:bookmarkStart w:id="20" w:name="_Toc4590"/>
      <w:bookmarkStart w:id="21" w:name="_Toc11490"/>
      <w:bookmarkStart w:id="22" w:name="_Toc13073"/>
      <w:r>
        <w:rPr>
          <w:rFonts w:hint="eastAsia"/>
          <w:color w:val="auto"/>
        </w:rPr>
        <w:t>法律法规</w:t>
      </w:r>
      <w:bookmarkEnd w:id="20"/>
      <w:bookmarkEnd w:id="21"/>
      <w:bookmarkEnd w:id="22"/>
    </w:p>
    <w:p w14:paraId="587E097D">
      <w:pPr>
        <w:pStyle w:val="26"/>
        <w:numPr>
          <w:ilvl w:val="0"/>
          <w:numId w:val="3"/>
        </w:numPr>
        <w:autoSpaceDE w:val="0"/>
        <w:autoSpaceDN w:val="0"/>
        <w:spacing w:line="600" w:lineRule="exact"/>
        <w:ind w:left="0" w:firstLine="560"/>
        <w:rPr>
          <w:rFonts w:hint="eastAsia" w:hAnsi="仿宋" w:cstheme="minorBidi"/>
          <w:color w:val="auto"/>
          <w:szCs w:val="28"/>
        </w:rPr>
      </w:pPr>
      <w:r>
        <w:rPr>
          <w:rFonts w:hint="eastAsia" w:hAnsi="仿宋" w:cs="System"/>
          <w:color w:val="auto"/>
          <w:kern w:val="0"/>
          <w:szCs w:val="28"/>
        </w:rPr>
        <w:t>《</w:t>
      </w:r>
      <w:r>
        <w:rPr>
          <w:rFonts w:hint="eastAsia" w:hAnsi="仿宋" w:cstheme="minorBidi"/>
          <w:color w:val="auto"/>
          <w:szCs w:val="28"/>
        </w:rPr>
        <w:t>中华人民共和国土地管理法》（2</w:t>
      </w:r>
      <w:r>
        <w:rPr>
          <w:rFonts w:hAnsi="仿宋" w:cstheme="minorBidi"/>
          <w:color w:val="auto"/>
          <w:szCs w:val="28"/>
        </w:rPr>
        <w:t>019</w:t>
      </w:r>
      <w:r>
        <w:rPr>
          <w:rFonts w:hint="eastAsia" w:hAnsi="仿宋" w:cstheme="minorBidi"/>
          <w:color w:val="auto"/>
          <w:szCs w:val="28"/>
        </w:rPr>
        <w:t>年修订版）；</w:t>
      </w:r>
    </w:p>
    <w:p w14:paraId="4F230376">
      <w:pPr>
        <w:pStyle w:val="26"/>
        <w:numPr>
          <w:ilvl w:val="0"/>
          <w:numId w:val="3"/>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《中华人民共和国土地管理法实施条例》（2</w:t>
      </w:r>
      <w:r>
        <w:rPr>
          <w:rFonts w:hAnsi="仿宋" w:cstheme="minorBidi"/>
          <w:color w:val="auto"/>
          <w:szCs w:val="28"/>
        </w:rPr>
        <w:t>021</w:t>
      </w:r>
      <w:r>
        <w:rPr>
          <w:rFonts w:hint="eastAsia" w:hAnsi="仿宋" w:cstheme="minorBidi"/>
          <w:color w:val="auto"/>
          <w:szCs w:val="28"/>
        </w:rPr>
        <w:t>年修订版）；</w:t>
      </w:r>
    </w:p>
    <w:p w14:paraId="089F708C">
      <w:pPr>
        <w:pStyle w:val="26"/>
        <w:numPr>
          <w:ilvl w:val="0"/>
          <w:numId w:val="3"/>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《中华人民共和国森林法》；</w:t>
      </w:r>
    </w:p>
    <w:p w14:paraId="4CB547F7">
      <w:pPr>
        <w:pStyle w:val="26"/>
        <w:numPr>
          <w:ilvl w:val="0"/>
          <w:numId w:val="3"/>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《中华人民共和国草原法》；</w:t>
      </w:r>
    </w:p>
    <w:p w14:paraId="6DA00FB9">
      <w:pPr>
        <w:pStyle w:val="26"/>
        <w:numPr>
          <w:ilvl w:val="0"/>
          <w:numId w:val="3"/>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《中华人民共和国湿地保护法》；</w:t>
      </w:r>
    </w:p>
    <w:p w14:paraId="39C2BA26">
      <w:pPr>
        <w:pStyle w:val="26"/>
        <w:numPr>
          <w:ilvl w:val="0"/>
          <w:numId w:val="3"/>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《中华人民共和国水法》；</w:t>
      </w:r>
    </w:p>
    <w:p w14:paraId="0032D7C0">
      <w:pPr>
        <w:pStyle w:val="26"/>
        <w:numPr>
          <w:ilvl w:val="0"/>
          <w:numId w:val="3"/>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《中华人民共和国海洋法》；</w:t>
      </w:r>
    </w:p>
    <w:p w14:paraId="3487383A">
      <w:pPr>
        <w:pStyle w:val="26"/>
        <w:numPr>
          <w:ilvl w:val="0"/>
          <w:numId w:val="3"/>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《广东省土地管理条例》（2</w:t>
      </w:r>
      <w:r>
        <w:rPr>
          <w:rFonts w:hAnsi="仿宋" w:cstheme="minorBidi"/>
          <w:color w:val="auto"/>
          <w:szCs w:val="28"/>
        </w:rPr>
        <w:t>022</w:t>
      </w:r>
      <w:r>
        <w:rPr>
          <w:rFonts w:hint="eastAsia" w:hAnsi="仿宋" w:cstheme="minorBidi"/>
          <w:color w:val="auto"/>
          <w:szCs w:val="28"/>
        </w:rPr>
        <w:t>年6月）；</w:t>
      </w:r>
    </w:p>
    <w:p w14:paraId="57B3EC91">
      <w:pPr>
        <w:pStyle w:val="26"/>
        <w:numPr>
          <w:ilvl w:val="0"/>
          <w:numId w:val="3"/>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《广东省森林管理条例》；</w:t>
      </w:r>
    </w:p>
    <w:p w14:paraId="0360ED9C">
      <w:pPr>
        <w:pStyle w:val="26"/>
        <w:numPr>
          <w:ilvl w:val="0"/>
          <w:numId w:val="3"/>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《广东省湿地保护条例》（2</w:t>
      </w:r>
      <w:r>
        <w:rPr>
          <w:rFonts w:hAnsi="仿宋" w:cstheme="minorBidi"/>
          <w:color w:val="auto"/>
          <w:szCs w:val="28"/>
        </w:rPr>
        <w:t>022</w:t>
      </w:r>
      <w:r>
        <w:rPr>
          <w:rFonts w:hint="eastAsia" w:hAnsi="仿宋" w:cstheme="minorBidi"/>
          <w:color w:val="auto"/>
          <w:szCs w:val="28"/>
        </w:rPr>
        <w:t>年1</w:t>
      </w:r>
      <w:r>
        <w:rPr>
          <w:rFonts w:hAnsi="仿宋" w:cstheme="minorBidi"/>
          <w:color w:val="auto"/>
          <w:szCs w:val="28"/>
        </w:rPr>
        <w:t>1</w:t>
      </w:r>
      <w:r>
        <w:rPr>
          <w:rFonts w:hint="eastAsia" w:hAnsi="仿宋" w:cstheme="minorBidi"/>
          <w:color w:val="auto"/>
          <w:szCs w:val="28"/>
        </w:rPr>
        <w:t>月）。</w:t>
      </w:r>
    </w:p>
    <w:p w14:paraId="1840062B">
      <w:pPr>
        <w:pStyle w:val="3"/>
        <w:rPr>
          <w:color w:val="auto"/>
        </w:rPr>
      </w:pPr>
      <w:bookmarkStart w:id="23" w:name="_Toc21251"/>
      <w:bookmarkStart w:id="24" w:name="_Toc20955"/>
      <w:bookmarkStart w:id="25" w:name="_Toc4778"/>
      <w:r>
        <w:rPr>
          <w:rFonts w:hint="eastAsia"/>
          <w:color w:val="auto"/>
        </w:rPr>
        <w:t>政策性文件</w:t>
      </w:r>
      <w:bookmarkEnd w:id="23"/>
      <w:bookmarkEnd w:id="24"/>
      <w:bookmarkEnd w:id="25"/>
    </w:p>
    <w:p w14:paraId="1F2F8E1E">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广东省自然资源厅 广东省林业局 广东省农垦总局关于印发</w:t>
      </w:r>
      <w:r>
        <w:rPr>
          <w:rFonts w:hint="eastAsia" w:hAnsi="仿宋" w:cstheme="minorBidi"/>
          <w:color w:val="auto"/>
          <w:szCs w:val="28"/>
          <w:lang w:eastAsia="zh-CN"/>
        </w:rPr>
        <w:t>《</w:t>
      </w:r>
      <w:r>
        <w:rPr>
          <w:rFonts w:hint="eastAsia"/>
          <w:color w:val="auto"/>
          <w:lang w:val="en-US" w:eastAsia="zh-CN"/>
        </w:rPr>
        <w:t>广东省国有自然资源使用管理突出问题专项整治工作方案&gt;的通知</w:t>
      </w:r>
      <w:r>
        <w:rPr>
          <w:rFonts w:hint="eastAsia" w:hAnsi="仿宋" w:cstheme="minorBidi"/>
          <w:color w:val="auto"/>
          <w:szCs w:val="28"/>
          <w:lang w:eastAsia="zh-CN"/>
        </w:rPr>
        <w:t>》（</w:t>
      </w:r>
      <w:r>
        <w:rPr>
          <w:rFonts w:hint="eastAsia"/>
          <w:color w:val="auto"/>
          <w:lang w:val="en-US" w:eastAsia="zh-CN"/>
        </w:rPr>
        <w:t>粤</w:t>
      </w:r>
      <w:r>
        <w:rPr>
          <w:rFonts w:hint="eastAsia"/>
          <w:color w:val="auto"/>
        </w:rPr>
        <w:t>自然资发〔202</w:t>
      </w:r>
      <w:r>
        <w:rPr>
          <w:rFonts w:hint="eastAsia"/>
          <w:color w:val="auto"/>
          <w:lang w:val="en-US" w:eastAsia="zh-CN"/>
        </w:rPr>
        <w:t>6</w:t>
      </w:r>
      <w:r>
        <w:rPr>
          <w:rFonts w:hint="eastAsia"/>
          <w:color w:val="auto"/>
        </w:rPr>
        <w:t>〕</w:t>
      </w:r>
      <w:r>
        <w:rPr>
          <w:rFonts w:hint="eastAsia"/>
          <w:color w:val="auto"/>
          <w:lang w:val="en-US" w:eastAsia="zh-CN"/>
        </w:rPr>
        <w:t>5</w:t>
      </w:r>
      <w:r>
        <w:rPr>
          <w:rFonts w:hint="eastAsia"/>
          <w:color w:val="auto"/>
        </w:rPr>
        <w:t>号</w:t>
      </w:r>
      <w:r>
        <w:rPr>
          <w:rFonts w:hint="eastAsia" w:hAnsi="仿宋" w:cstheme="minorBidi"/>
          <w:color w:val="auto"/>
          <w:szCs w:val="28"/>
          <w:lang w:eastAsia="zh-CN"/>
        </w:rPr>
        <w:t>）；</w:t>
      </w:r>
    </w:p>
    <w:p w14:paraId="7EDE5FAD">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《广东省全民所有自然资源资产清查实施方案》；</w:t>
      </w:r>
    </w:p>
    <w:p w14:paraId="70260F66">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《广州市全民所有自然资源资产清查深化试点三年行动实施方案》；</w:t>
      </w:r>
    </w:p>
    <w:p w14:paraId="3357E070">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《广东省自然资源厅关于建设用地报批地类有关问题的通知》（粤自然资管制〔2019〕1439号）；</w:t>
      </w:r>
    </w:p>
    <w:p w14:paraId="4E05619C">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广东省国土资源厅关于印发《省政府审批建设用地报批材料范本(2018年修订版)的通知》(粤国土资利用发〔2018〕25号)；</w:t>
      </w:r>
    </w:p>
    <w:p w14:paraId="42B6C450">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《广东省人民政府办公厅关于印发广东省建设用地审查报批办法的通知》（粤府办〔2019〕11号）；</w:t>
      </w:r>
    </w:p>
    <w:p w14:paraId="27114CC1">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《广州市人民政府办公厅关于印发广州市农民集体所有土地征收补偿办法的通知》（穗府办规〔2023〕3号）；</w:t>
      </w:r>
    </w:p>
    <w:p w14:paraId="131A0A62">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《自然资源部办公厅关于规范报部审查的建设项目用地报批材料和审查报告文本格式的函》（自然资办函〔2022〕819号）</w:t>
      </w:r>
    </w:p>
    <w:p w14:paraId="3AE9237A">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lang w:eastAsia="zh-CN"/>
        </w:rPr>
        <w:t>《</w:t>
      </w:r>
      <w:r>
        <w:rPr>
          <w:rFonts w:hint="eastAsia" w:hAnsi="仿宋" w:cstheme="minorBidi"/>
          <w:color w:val="auto"/>
          <w:szCs w:val="28"/>
        </w:rPr>
        <w:t>关于进一步规范建设用地报批文本格式提高审批效率的函</w:t>
      </w:r>
      <w:r>
        <w:rPr>
          <w:rFonts w:hint="eastAsia" w:hAnsi="仿宋" w:cstheme="minorBidi"/>
          <w:color w:val="auto"/>
          <w:szCs w:val="28"/>
          <w:lang w:eastAsia="zh-CN"/>
        </w:rPr>
        <w:t>》</w:t>
      </w:r>
      <w:r>
        <w:rPr>
          <w:rFonts w:hint="eastAsia" w:hAnsi="仿宋" w:cstheme="minorBidi"/>
          <w:color w:val="auto"/>
          <w:szCs w:val="28"/>
        </w:rPr>
        <w:t>（自然资办函〔2024〕1009号）；</w:t>
      </w:r>
    </w:p>
    <w:p w14:paraId="2AAA3080">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《自然资源部关于印发&lt;城镇开发边界管理办法(试行)&gt;的通知》(自然资规〔2026〕1号)</w:t>
      </w:r>
    </w:p>
    <w:p w14:paraId="58278B8B">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lang w:eastAsia="zh-CN"/>
        </w:rPr>
        <w:t>《</w:t>
      </w:r>
      <w:r>
        <w:rPr>
          <w:rFonts w:hint="eastAsia" w:hAnsi="仿宋" w:cstheme="minorBidi"/>
          <w:color w:val="auto"/>
          <w:szCs w:val="28"/>
        </w:rPr>
        <w:t>广东省自然资源厅关于进一步规范土地征收成片开发工作的通知</w:t>
      </w:r>
      <w:r>
        <w:rPr>
          <w:rFonts w:hint="eastAsia" w:hAnsi="仿宋" w:cstheme="minorBidi"/>
          <w:color w:val="auto"/>
          <w:szCs w:val="28"/>
          <w:lang w:eastAsia="zh-CN"/>
        </w:rPr>
        <w:t>》（粤自然资规字〔2024〕7号）</w:t>
      </w:r>
    </w:p>
    <w:p w14:paraId="486A0B4D">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《国家发改委关于印发国家发改委重大固定资产投资项目社会稳定风险分析篇章和评估报告编制大纲（试行）的通知》（发改办投资〔2013〕428 号）；</w:t>
      </w:r>
    </w:p>
    <w:p w14:paraId="484C71A5">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《广东省发展改革委关于印发重大项目社会稳定风险评估暂行办法的通知》（粤发改重点〔2012〕1095 号）；</w:t>
      </w:r>
    </w:p>
    <w:p w14:paraId="5CDD3FC9">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《关于加强城市建设重大项目决策风险管理的意见》（穗发改〔2021〕98 号）；</w:t>
      </w:r>
    </w:p>
    <w:p w14:paraId="0AAADE53">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《自然资源部 国家林草局关于进一步做好自然资源要素保障的通知》（自然资发〔2026〕38号）</w:t>
      </w:r>
      <w:r>
        <w:rPr>
          <w:rFonts w:hint="eastAsia" w:hAnsi="仿宋" w:cstheme="minorBidi"/>
          <w:color w:val="auto"/>
          <w:szCs w:val="28"/>
          <w:lang w:eastAsia="zh-CN"/>
        </w:rPr>
        <w:t>；</w:t>
      </w:r>
    </w:p>
    <w:p w14:paraId="140A40BD">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color w:val="auto"/>
          <w:lang w:eastAsia="zh-CN"/>
        </w:rPr>
        <w:t>《广州市人民政府关于将部分市级行政职权调整由花都区实施的决定》（</w:t>
      </w:r>
      <w:r>
        <w:rPr>
          <w:rFonts w:hint="eastAsia"/>
          <w:color w:val="auto"/>
          <w:lang w:val="en-US" w:eastAsia="zh-CN"/>
        </w:rPr>
        <w:t>广州市政府令第224号</w:t>
      </w:r>
      <w:r>
        <w:rPr>
          <w:rFonts w:hint="eastAsia"/>
          <w:color w:val="auto"/>
          <w:lang w:eastAsia="zh-CN"/>
        </w:rPr>
        <w:t>）；</w:t>
      </w:r>
    </w:p>
    <w:p w14:paraId="686D7EE8">
      <w:pPr>
        <w:pStyle w:val="26"/>
        <w:numPr>
          <w:ilvl w:val="0"/>
          <w:numId w:val="4"/>
        </w:numPr>
        <w:autoSpaceDE w:val="0"/>
        <w:autoSpaceDN w:val="0"/>
        <w:spacing w:line="600" w:lineRule="exact"/>
        <w:ind w:left="0" w:firstLine="560"/>
        <w:rPr>
          <w:rFonts w:hint="eastAsia" w:hAnsi="仿宋" w:cstheme="minorBidi"/>
          <w:color w:val="auto"/>
          <w:szCs w:val="28"/>
        </w:rPr>
      </w:pPr>
      <w:r>
        <w:rPr>
          <w:rFonts w:hint="eastAsia" w:hAnsi="仿宋" w:cstheme="minorBidi"/>
          <w:color w:val="auto"/>
          <w:szCs w:val="28"/>
        </w:rPr>
        <w:t>其他相关法律法规、政策文件等。</w:t>
      </w:r>
    </w:p>
    <w:p w14:paraId="4E8763F9">
      <w:pPr>
        <w:rPr>
          <w:color w:val="auto"/>
        </w:rPr>
      </w:pPr>
      <w:r>
        <w:rPr>
          <w:rFonts w:hint="eastAsia"/>
          <w:color w:val="auto"/>
        </w:rPr>
        <w:br w:type="page"/>
      </w:r>
    </w:p>
    <w:p w14:paraId="125BBFB0">
      <w:pPr>
        <w:pStyle w:val="2"/>
        <w:rPr>
          <w:color w:val="auto"/>
        </w:rPr>
      </w:pPr>
      <w:bookmarkStart w:id="26" w:name="_Toc12130"/>
      <w:bookmarkStart w:id="27" w:name="_Toc7144"/>
      <w:bookmarkStart w:id="28" w:name="_Toc22613"/>
      <w:r>
        <w:rPr>
          <w:rFonts w:hint="eastAsia"/>
          <w:color w:val="auto"/>
        </w:rPr>
        <w:t>工作内容</w:t>
      </w:r>
      <w:bookmarkEnd w:id="26"/>
      <w:bookmarkEnd w:id="27"/>
      <w:bookmarkEnd w:id="28"/>
    </w:p>
    <w:bookmarkEnd w:id="0"/>
    <w:p w14:paraId="0EA73DEF">
      <w:pPr>
        <w:pStyle w:val="3"/>
        <w:rPr>
          <w:color w:val="auto"/>
        </w:rPr>
      </w:pPr>
      <w:bookmarkStart w:id="29" w:name="_Toc7659"/>
      <w:bookmarkStart w:id="30" w:name="_Toc1464"/>
      <w:bookmarkStart w:id="31" w:name="_Toc28834"/>
      <w:bookmarkStart w:id="32" w:name="_Toc15486179"/>
      <w:r>
        <w:rPr>
          <w:rFonts w:hint="eastAsia"/>
          <w:color w:val="auto"/>
        </w:rPr>
        <w:t>具体工作</w:t>
      </w:r>
      <w:bookmarkEnd w:id="29"/>
      <w:bookmarkEnd w:id="30"/>
      <w:bookmarkEnd w:id="31"/>
    </w:p>
    <w:p w14:paraId="7558FE8E">
      <w:pPr>
        <w:pStyle w:val="4"/>
        <w:rPr>
          <w:color w:val="auto"/>
        </w:rPr>
      </w:pPr>
      <w:r>
        <w:rPr>
          <w:rFonts w:hint="eastAsia"/>
          <w:color w:val="auto"/>
          <w:lang w:val="en-US" w:eastAsia="zh-CN"/>
        </w:rPr>
        <w:t>农转用报批材料技术审查</w:t>
      </w:r>
    </w:p>
    <w:p w14:paraId="520A9144">
      <w:pPr>
        <w:numPr>
          <w:ilvl w:val="0"/>
          <w:numId w:val="0"/>
        </w:numPr>
        <w:ind w:left="560" w:leftChars="0"/>
        <w:rPr>
          <w:rFonts w:hint="eastAsia"/>
          <w:color w:val="auto"/>
          <w:lang w:val="en-US" w:eastAsia="zh-CN"/>
        </w:rPr>
      </w:pPr>
      <w:r>
        <w:rPr>
          <w:rFonts w:hint="eastAsia"/>
          <w:color w:val="auto"/>
          <w:lang w:val="en-US" w:eastAsia="zh-CN"/>
        </w:rPr>
        <w:t>1、材料完整性审查</w:t>
      </w:r>
    </w:p>
    <w:p w14:paraId="0B1C8AD0">
      <w:pPr>
        <w:rPr>
          <w:rFonts w:hint="default"/>
          <w:color w:val="auto"/>
          <w:lang w:val="en-US" w:eastAsia="zh-CN"/>
        </w:rPr>
      </w:pPr>
      <w:r>
        <w:rPr>
          <w:rFonts w:hint="eastAsia"/>
          <w:color w:val="auto"/>
          <w:lang w:val="en-US" w:eastAsia="zh-CN"/>
        </w:rPr>
        <w:t>对照广东省建设用地报批材料清单，核查组卷材料是否齐全，包括：用地规划、地类、权属、耕地、违法、征地、成片情况等相关材料，确保材料齐全。</w:t>
      </w:r>
    </w:p>
    <w:p w14:paraId="36D13056">
      <w:pPr>
        <w:numPr>
          <w:ilvl w:val="0"/>
          <w:numId w:val="0"/>
        </w:numPr>
        <w:ind w:left="560" w:leftChars="0"/>
        <w:rPr>
          <w:rFonts w:hint="eastAsia"/>
          <w:color w:val="auto"/>
          <w:lang w:val="en-US" w:eastAsia="zh-CN"/>
        </w:rPr>
      </w:pPr>
      <w:r>
        <w:rPr>
          <w:rFonts w:hint="eastAsia"/>
          <w:color w:val="auto"/>
          <w:lang w:val="en-US" w:eastAsia="zh-CN"/>
        </w:rPr>
        <w:t>2、数据准确性审查</w:t>
      </w:r>
    </w:p>
    <w:p w14:paraId="764A6591">
      <w:pPr>
        <w:rPr>
          <w:rFonts w:hint="default"/>
          <w:color w:val="auto"/>
          <w:lang w:val="en-US" w:eastAsia="zh-CN"/>
        </w:rPr>
      </w:pPr>
      <w:r>
        <w:rPr>
          <w:rFonts w:hint="eastAsia"/>
          <w:color w:val="auto"/>
          <w:lang w:val="en-US" w:eastAsia="zh-CN"/>
        </w:rPr>
        <w:t>对照广东省用途管制系统、勘测定界报告书，校核项目用地面积、地类与最新年度国土变更调查成果是否一致，核查项目报批材料地类数据是否与地类倒推成果一致性，核查项目权属是否清晰、无争议，耕地是否完成占补平衡、违法是否处置到位。</w:t>
      </w:r>
    </w:p>
    <w:p w14:paraId="69FC6708">
      <w:pPr>
        <w:numPr>
          <w:ilvl w:val="0"/>
          <w:numId w:val="0"/>
        </w:numPr>
        <w:ind w:firstLine="560" w:firstLineChars="200"/>
        <w:rPr>
          <w:rFonts w:hint="eastAsia"/>
          <w:color w:val="auto"/>
          <w:lang w:val="en-US" w:eastAsia="zh-CN"/>
        </w:rPr>
      </w:pPr>
      <w:r>
        <w:rPr>
          <w:rFonts w:hint="eastAsia"/>
          <w:color w:val="auto"/>
          <w:lang w:val="en-US" w:eastAsia="zh-CN"/>
        </w:rPr>
        <w:t>3、规划符合性审查</w:t>
      </w:r>
    </w:p>
    <w:p w14:paraId="5ADB8D57">
      <w:pPr>
        <w:rPr>
          <w:rFonts w:hint="default"/>
          <w:color w:val="auto"/>
          <w:lang w:val="en-US" w:eastAsia="zh-CN"/>
        </w:rPr>
      </w:pPr>
      <w:r>
        <w:rPr>
          <w:rFonts w:hint="eastAsia"/>
          <w:color w:val="auto"/>
          <w:lang w:val="en-US" w:eastAsia="zh-CN"/>
        </w:rPr>
        <w:t>核查是否符合国土空间规划、是否涉及生态保护红线、永久基本农田，项目规划用途是否符合相关政策要求，确保项目合规落地。</w:t>
      </w:r>
    </w:p>
    <w:p w14:paraId="11CC22B4">
      <w:pPr>
        <w:numPr>
          <w:ilvl w:val="0"/>
          <w:numId w:val="0"/>
        </w:numPr>
        <w:ind w:left="560" w:leftChars="0"/>
        <w:rPr>
          <w:rFonts w:hint="default"/>
          <w:color w:val="auto"/>
          <w:lang w:val="en-US" w:eastAsia="zh-CN"/>
        </w:rPr>
      </w:pPr>
      <w:r>
        <w:rPr>
          <w:rFonts w:hint="eastAsia"/>
          <w:color w:val="auto"/>
          <w:lang w:val="en-US" w:eastAsia="zh-CN"/>
        </w:rPr>
        <w:t>4、政策合规性审查</w:t>
      </w:r>
    </w:p>
    <w:p w14:paraId="05F43E71">
      <w:pPr>
        <w:rPr>
          <w:rFonts w:hint="default"/>
          <w:color w:val="auto"/>
          <w:lang w:val="en-US" w:eastAsia="zh-CN"/>
        </w:rPr>
      </w:pPr>
      <w:r>
        <w:rPr>
          <w:rFonts w:hint="eastAsia"/>
          <w:color w:val="auto"/>
          <w:lang w:val="en-US" w:eastAsia="zh-CN"/>
        </w:rPr>
        <w:t>核查项目报批材料模版、表述、数据统计是否符合项目政策要求，核查项目是否使用最新下发模版，相关材料表述是否符合最新审查要求，项目报批程序是否合规开展，确保项目合法落地。</w:t>
      </w:r>
    </w:p>
    <w:p w14:paraId="7EC1E9C2">
      <w:pPr>
        <w:pStyle w:val="4"/>
        <w:rPr>
          <w:color w:val="auto"/>
          <w:highlight w:val="none"/>
        </w:rPr>
      </w:pPr>
      <w:r>
        <w:rPr>
          <w:color w:val="auto"/>
          <w:highlight w:val="none"/>
        </w:rPr>
        <w:t>土地征收成片开发审查技术服务</w:t>
      </w:r>
    </w:p>
    <w:p w14:paraId="4AECBE9F">
      <w:pPr>
        <w:pStyle w:val="45"/>
        <w:ind w:firstLine="420"/>
        <w:jc w:val="both"/>
        <w:rPr>
          <w:rFonts w:hint="eastAsia" w:ascii="Times New Roman" w:hAnsi="Times New Roman" w:eastAsia="仿宋" w:cs="Times New Roman"/>
          <w:color w:val="auto"/>
          <w:kern w:val="2"/>
          <w:sz w:val="28"/>
          <w:szCs w:val="21"/>
          <w:lang w:val="en-US" w:eastAsia="zh-CN" w:bidi="ar-SA"/>
        </w:rPr>
      </w:pPr>
      <w:r>
        <w:rPr>
          <w:rFonts w:hint="eastAsia" w:ascii="Times New Roman" w:hAnsi="Times New Roman" w:eastAsia="仿宋" w:cs="Times New Roman"/>
          <w:color w:val="auto"/>
          <w:kern w:val="2"/>
          <w:sz w:val="28"/>
          <w:szCs w:val="21"/>
          <w:lang w:val="en-US" w:eastAsia="zh-CN" w:bidi="ar-SA"/>
        </w:rPr>
        <w:t>1、提供土地征收成片开发技术审查服务</w:t>
      </w:r>
    </w:p>
    <w:p w14:paraId="121985A6">
      <w:pPr>
        <w:pStyle w:val="45"/>
        <w:ind w:firstLine="420"/>
        <w:jc w:val="both"/>
        <w:rPr>
          <w:rFonts w:hint="eastAsia" w:ascii="Times New Roman" w:hAnsi="Times New Roman" w:eastAsia="仿宋" w:cs="Times New Roman"/>
          <w:color w:val="auto"/>
          <w:kern w:val="2"/>
          <w:sz w:val="28"/>
          <w:szCs w:val="21"/>
          <w:lang w:val="en-US" w:eastAsia="zh-CN" w:bidi="ar-SA"/>
        </w:rPr>
      </w:pPr>
      <w:r>
        <w:rPr>
          <w:rFonts w:hint="eastAsia" w:ascii="Times New Roman" w:hAnsi="Times New Roman" w:eastAsia="仿宋" w:cs="Times New Roman"/>
          <w:color w:val="auto"/>
          <w:kern w:val="2"/>
          <w:sz w:val="28"/>
          <w:szCs w:val="21"/>
          <w:lang w:val="en-US" w:eastAsia="zh-CN" w:bidi="ar-SA"/>
        </w:rPr>
        <w:t>根据省、市审查要点和模板等相关要求，依托广东省国土空间用途管制综合应用系统、广州市规划和自然资源局国土空间基础信息平台等，协助开展土地征收成片开发技术初审工作，出具成果技术审查意见、衔接做好省管制系统核查及意见反馈、协助做好方案编制相关问题的技术指导等，确保土地征收成片开发符合规定。</w:t>
      </w:r>
    </w:p>
    <w:p w14:paraId="5E3C0C66">
      <w:pPr>
        <w:pStyle w:val="45"/>
        <w:ind w:firstLine="420"/>
        <w:jc w:val="both"/>
        <w:rPr>
          <w:rFonts w:hint="eastAsia" w:ascii="Times New Roman" w:hAnsi="Times New Roman" w:eastAsia="仿宋" w:cs="Times New Roman"/>
          <w:color w:val="auto"/>
          <w:kern w:val="2"/>
          <w:sz w:val="28"/>
          <w:szCs w:val="21"/>
          <w:lang w:val="en-US" w:eastAsia="zh-CN" w:bidi="ar-SA"/>
        </w:rPr>
      </w:pPr>
      <w:r>
        <w:rPr>
          <w:rFonts w:hint="eastAsia" w:ascii="Times New Roman" w:hAnsi="Times New Roman" w:eastAsia="仿宋" w:cs="Times New Roman"/>
          <w:color w:val="auto"/>
          <w:kern w:val="2"/>
          <w:sz w:val="28"/>
          <w:szCs w:val="21"/>
          <w:lang w:val="en-US" w:eastAsia="zh-CN" w:bidi="ar-SA"/>
        </w:rPr>
        <w:t>2、协助土地征收成片开发批后实施技术核查</w:t>
      </w:r>
    </w:p>
    <w:p w14:paraId="0969E0FC">
      <w:pPr>
        <w:pStyle w:val="45"/>
        <w:ind w:firstLine="420"/>
        <w:jc w:val="both"/>
        <w:rPr>
          <w:rFonts w:hint="eastAsia" w:ascii="Times New Roman" w:hAnsi="Times New Roman" w:eastAsia="仿宋" w:cs="Times New Roman"/>
          <w:color w:val="auto"/>
          <w:kern w:val="2"/>
          <w:sz w:val="28"/>
          <w:szCs w:val="21"/>
          <w:lang w:val="en-US" w:eastAsia="zh-CN" w:bidi="ar-SA"/>
        </w:rPr>
      </w:pPr>
      <w:r>
        <w:rPr>
          <w:rFonts w:hint="eastAsia" w:ascii="Times New Roman" w:hAnsi="Times New Roman" w:eastAsia="仿宋" w:cs="Times New Roman"/>
          <w:color w:val="auto"/>
          <w:kern w:val="2"/>
          <w:sz w:val="28"/>
          <w:szCs w:val="21"/>
          <w:lang w:val="en-US" w:eastAsia="zh-CN" w:bidi="ar-SA"/>
        </w:rPr>
        <w:t>协助做好土地征收成片开发与用地报批件的衔接核查工作，针对正在开展土地征收审批的属于成片开发情形的批次用地，开展纳入已批成片开发范围及拟征收地块情况的技术核查工作。</w:t>
      </w:r>
    </w:p>
    <w:p w14:paraId="4F284F3F">
      <w:pPr>
        <w:pStyle w:val="45"/>
        <w:ind w:firstLine="420"/>
        <w:jc w:val="both"/>
        <w:rPr>
          <w:rFonts w:hint="eastAsia" w:ascii="Times New Roman" w:hAnsi="Times New Roman" w:eastAsia="仿宋" w:cs="Times New Roman"/>
          <w:color w:val="auto"/>
          <w:kern w:val="2"/>
          <w:sz w:val="28"/>
          <w:szCs w:val="21"/>
          <w:lang w:val="en-US" w:eastAsia="zh-CN" w:bidi="ar-SA"/>
        </w:rPr>
      </w:pPr>
      <w:r>
        <w:rPr>
          <w:rFonts w:hint="eastAsia" w:ascii="Times New Roman" w:hAnsi="Times New Roman" w:eastAsia="仿宋" w:cs="Times New Roman"/>
          <w:color w:val="auto"/>
          <w:kern w:val="2"/>
          <w:sz w:val="28"/>
          <w:szCs w:val="21"/>
          <w:lang w:val="en-US" w:eastAsia="zh-CN" w:bidi="ar-SA"/>
        </w:rPr>
        <w:t>3、协助跟进土地征收成片开发审查其他相关工作</w:t>
      </w:r>
    </w:p>
    <w:p w14:paraId="08BE9A0E">
      <w:pPr>
        <w:rPr>
          <w:rFonts w:hint="eastAsia" w:ascii="Times New Roman" w:hAnsi="Times New Roman" w:eastAsia="仿宋" w:cs="Times New Roman"/>
          <w:color w:val="auto"/>
          <w:kern w:val="2"/>
          <w:sz w:val="28"/>
          <w:szCs w:val="21"/>
          <w:lang w:val="en-US" w:eastAsia="zh-CN" w:bidi="ar-SA"/>
        </w:rPr>
      </w:pPr>
      <w:r>
        <w:rPr>
          <w:rFonts w:hint="eastAsia" w:ascii="Times New Roman" w:hAnsi="Times New Roman" w:eastAsia="仿宋" w:cs="Times New Roman"/>
          <w:color w:val="auto"/>
          <w:kern w:val="2"/>
          <w:sz w:val="28"/>
          <w:szCs w:val="21"/>
          <w:lang w:val="en-US" w:eastAsia="zh-CN" w:bidi="ar-SA"/>
        </w:rPr>
        <w:t>协助与</w:t>
      </w:r>
      <w:r>
        <w:rPr>
          <w:rFonts w:hint="eastAsia" w:cs="Times New Roman"/>
          <w:color w:val="auto"/>
          <w:kern w:val="2"/>
          <w:sz w:val="28"/>
          <w:szCs w:val="21"/>
          <w:lang w:val="en-US" w:eastAsia="zh-CN" w:bidi="ar-SA"/>
        </w:rPr>
        <w:t>花都</w:t>
      </w:r>
      <w:r>
        <w:rPr>
          <w:rFonts w:hint="eastAsia" w:ascii="Times New Roman" w:hAnsi="Times New Roman" w:eastAsia="仿宋" w:cs="Times New Roman"/>
          <w:color w:val="auto"/>
          <w:kern w:val="2"/>
          <w:sz w:val="28"/>
          <w:szCs w:val="21"/>
          <w:lang w:val="en-US" w:eastAsia="zh-CN" w:bidi="ar-SA"/>
        </w:rPr>
        <w:t>区工作密切联系、属于土地征收成片开发技术审查范畴的其他辅助性技术工作，包括协助广州市</w:t>
      </w:r>
      <w:r>
        <w:rPr>
          <w:rFonts w:hint="eastAsia" w:cs="Times New Roman"/>
          <w:color w:val="auto"/>
          <w:kern w:val="2"/>
          <w:sz w:val="28"/>
          <w:szCs w:val="21"/>
          <w:lang w:val="en-US" w:eastAsia="zh-CN" w:bidi="ar-SA"/>
        </w:rPr>
        <w:t>花都</w:t>
      </w:r>
      <w:r>
        <w:rPr>
          <w:rFonts w:hint="eastAsia" w:ascii="Times New Roman" w:hAnsi="Times New Roman" w:eastAsia="仿宋" w:cs="Times New Roman"/>
          <w:color w:val="auto"/>
          <w:kern w:val="2"/>
          <w:sz w:val="28"/>
          <w:szCs w:val="21"/>
          <w:lang w:val="en-US" w:eastAsia="zh-CN" w:bidi="ar-SA"/>
        </w:rPr>
        <w:t>区协助做好省管制系统土地征收成片开发管理模块备案数据检查等。</w:t>
      </w:r>
    </w:p>
    <w:p w14:paraId="0159AA55">
      <w:pPr>
        <w:pStyle w:val="4"/>
        <w:rPr>
          <w:color w:val="auto"/>
          <w:highlight w:val="none"/>
        </w:rPr>
      </w:pPr>
      <w:r>
        <w:rPr>
          <w:rFonts w:hint="eastAsia"/>
          <w:color w:val="auto"/>
          <w:highlight w:val="none"/>
          <w:lang w:val="en-US" w:eastAsia="zh-CN"/>
        </w:rPr>
        <w:t>批前工作技术审查</w:t>
      </w:r>
    </w:p>
    <w:p w14:paraId="3222A767">
      <w:pPr>
        <w:ind w:left="0" w:leftChars="0" w:firstLine="560" w:firstLineChars="200"/>
        <w:rPr>
          <w:rFonts w:hint="eastAsia"/>
          <w:color w:val="auto"/>
          <w:lang w:val="en-US" w:eastAsia="zh-CN"/>
        </w:rPr>
      </w:pPr>
      <w:r>
        <w:rPr>
          <w:rFonts w:hint="eastAsia"/>
          <w:color w:val="auto"/>
          <w:lang w:val="en-US" w:eastAsia="zh-CN"/>
        </w:rPr>
        <w:t>1、征地预公告</w:t>
      </w:r>
    </w:p>
    <w:p w14:paraId="4DA49C9D">
      <w:pPr>
        <w:rPr>
          <w:rFonts w:hint="default"/>
          <w:color w:val="auto"/>
          <w:lang w:val="en-US" w:eastAsia="zh-CN"/>
        </w:rPr>
      </w:pPr>
      <w:r>
        <w:rPr>
          <w:rFonts w:hint="eastAsia"/>
          <w:color w:val="auto"/>
          <w:lang w:val="en-US" w:eastAsia="zh-CN"/>
        </w:rPr>
        <w:t>收到征地预公告申请后，核查公告是否明确拟征收范围、目的、用途、现状调查工作安排，确认公示时长不少于10个工作日，符合公共利益认定情形，表述准确无误，发起出具征地预公告的请示及挂网，跟踪经办材料上传情况及领导审批情况。正式发布后，复核公告代拟材料信息完整性及准确性，跟踪公告挂网进度，直至完成公告在区政府和市自然资源局网站公示。</w:t>
      </w:r>
    </w:p>
    <w:p w14:paraId="3F0EE57E">
      <w:pPr>
        <w:numPr>
          <w:ilvl w:val="0"/>
          <w:numId w:val="0"/>
        </w:numPr>
        <w:ind w:firstLine="560" w:firstLineChars="200"/>
        <w:rPr>
          <w:rFonts w:hint="eastAsia"/>
          <w:color w:val="auto"/>
          <w:lang w:val="en-US" w:eastAsia="zh-CN"/>
        </w:rPr>
      </w:pPr>
      <w:r>
        <w:rPr>
          <w:rFonts w:hint="eastAsia"/>
          <w:color w:val="auto"/>
          <w:lang w:val="en-US" w:eastAsia="zh-CN"/>
        </w:rPr>
        <w:t>2、征地补偿安置公告</w:t>
      </w:r>
    </w:p>
    <w:p w14:paraId="240AEAE7">
      <w:pPr>
        <w:rPr>
          <w:rFonts w:hint="eastAsia"/>
          <w:color w:val="auto"/>
          <w:highlight w:val="yellow"/>
          <w:lang w:val="en-US" w:eastAsia="zh-CN"/>
        </w:rPr>
      </w:pPr>
      <w:r>
        <w:rPr>
          <w:rFonts w:hint="eastAsia"/>
          <w:color w:val="auto"/>
          <w:lang w:val="en-US" w:eastAsia="zh-CN"/>
        </w:rPr>
        <w:t>收到征地补偿安置方案后，核查方案是否包含征收范围、土地现状、征收目的、补偿标准、安置方式、社会保障、异议反馈渠道等法定要素，核查公告时长、征地程序是否合规。核查无误后发起出具征地预公告的请示及挂网，跟踪经办材料上传情况及领导审批情况，核查是否上传现状调查、社会稳定风险评估等前期征地材料。正式发布后，</w:t>
      </w:r>
      <w:bookmarkStart w:id="33" w:name="OLE_LINK1"/>
      <w:r>
        <w:rPr>
          <w:rFonts w:hint="eastAsia"/>
          <w:color w:val="auto"/>
          <w:lang w:val="en-US" w:eastAsia="zh-CN"/>
        </w:rPr>
        <w:t>复核公告代拟材料信息完整性及准确性，跟踪公告挂网进度，直至完成公告在区政府和市自然资源局网站公示。</w:t>
      </w:r>
    </w:p>
    <w:p w14:paraId="6E343347">
      <w:pPr>
        <w:numPr>
          <w:ilvl w:val="0"/>
          <w:numId w:val="5"/>
        </w:numPr>
        <w:rPr>
          <w:rFonts w:hint="eastAsia"/>
          <w:color w:val="auto"/>
          <w:lang w:val="en-US" w:eastAsia="zh-CN"/>
        </w:rPr>
      </w:pPr>
      <w:r>
        <w:rPr>
          <w:rFonts w:hint="eastAsia"/>
          <w:color w:val="auto"/>
          <w:lang w:val="en-US" w:eastAsia="zh-CN"/>
        </w:rPr>
        <w:t>社稳审查意见、协议签订情况表、实质性核查说明</w:t>
      </w:r>
    </w:p>
    <w:p w14:paraId="3D27416C">
      <w:pPr>
        <w:rPr>
          <w:rFonts w:hint="default"/>
          <w:color w:val="auto"/>
          <w:lang w:val="en-US" w:eastAsia="zh-CN"/>
        </w:rPr>
      </w:pPr>
      <w:r>
        <w:rPr>
          <w:rFonts w:hint="eastAsia"/>
          <w:color w:val="auto"/>
          <w:lang w:val="en-US" w:eastAsia="zh-CN"/>
        </w:rPr>
        <w:t>收到出具社稳审查意见、协议签订情况表、实质性核查说明的请示后，核查是否提供出具的社稳审查意见、协议签订情况表、实质性核查说明、数据是否一致、表述是否准确、征地程序是否合规，确保上述材料准确无误。</w:t>
      </w:r>
    </w:p>
    <w:bookmarkEnd w:id="33"/>
    <w:p w14:paraId="6385FD70">
      <w:pPr>
        <w:pStyle w:val="4"/>
        <w:rPr>
          <w:color w:val="auto"/>
        </w:rPr>
      </w:pPr>
      <w:r>
        <w:rPr>
          <w:rFonts w:hint="eastAsia"/>
          <w:color w:val="auto"/>
          <w:lang w:val="en-US" w:eastAsia="zh-CN"/>
        </w:rPr>
        <w:t>批后实施工作技术审查</w:t>
      </w:r>
    </w:p>
    <w:p w14:paraId="085EDB98">
      <w:pPr>
        <w:numPr>
          <w:ilvl w:val="0"/>
          <w:numId w:val="0"/>
        </w:numPr>
        <w:ind w:firstLine="560" w:firstLineChars="200"/>
        <w:rPr>
          <w:rFonts w:hint="eastAsia"/>
          <w:color w:val="auto"/>
          <w:lang w:val="en-US" w:eastAsia="zh-CN"/>
        </w:rPr>
      </w:pPr>
      <w:r>
        <w:rPr>
          <w:rFonts w:hint="eastAsia"/>
          <w:color w:val="auto"/>
          <w:lang w:val="en-US" w:eastAsia="zh-CN"/>
        </w:rPr>
        <w:t>1、复核建设用地批复</w:t>
      </w:r>
    </w:p>
    <w:p w14:paraId="3CCA39C1">
      <w:pPr>
        <w:ind w:firstLine="560"/>
        <w:rPr>
          <w:rFonts w:hint="default"/>
          <w:color w:val="auto"/>
          <w:lang w:val="en-US" w:eastAsia="zh-CN"/>
        </w:rPr>
      </w:pPr>
      <w:r>
        <w:rPr>
          <w:rFonts w:hint="eastAsia"/>
          <w:color w:val="auto"/>
          <w:lang w:val="en-US" w:eastAsia="zh-CN"/>
        </w:rPr>
        <w:t>实时跟进政务系统建设用地批复流转情况，及时接收建设用地批复，收集相关报批材料，校核批复内容与报批成果的一致性，确认批复无错漏审批问题，启动批后实施工作。</w:t>
      </w:r>
    </w:p>
    <w:p w14:paraId="46F63547">
      <w:pPr>
        <w:numPr>
          <w:ilvl w:val="0"/>
          <w:numId w:val="0"/>
        </w:numPr>
        <w:ind w:firstLine="560" w:firstLineChars="200"/>
        <w:rPr>
          <w:rFonts w:hint="default"/>
          <w:color w:val="auto"/>
          <w:lang w:val="en-US" w:eastAsia="zh-CN"/>
        </w:rPr>
      </w:pPr>
      <w:r>
        <w:rPr>
          <w:rFonts w:hint="eastAsia"/>
          <w:color w:val="auto"/>
          <w:lang w:val="en-US" w:eastAsia="zh-CN"/>
        </w:rPr>
        <w:t>2、出具批后实施材料</w:t>
      </w:r>
    </w:p>
    <w:p w14:paraId="522D8270">
      <w:pPr>
        <w:ind w:firstLine="560"/>
        <w:rPr>
          <w:rFonts w:hint="default"/>
          <w:color w:val="auto"/>
          <w:lang w:val="en-US" w:eastAsia="zh-CN"/>
        </w:rPr>
      </w:pPr>
      <w:r>
        <w:rPr>
          <w:rFonts w:hint="eastAsia"/>
          <w:color w:val="auto"/>
          <w:lang w:val="en-US" w:eastAsia="zh-CN"/>
        </w:rPr>
        <w:t>按照相关政策文件要求，代拟、审核并出具《办理占用耕地手续通知书及送达回证》、《批后实施通知书》，跟进呈批进度，通知建设用地项目经办领取相关材料，办理批后实施手续。</w:t>
      </w:r>
      <w:r>
        <w:rPr>
          <w:rFonts w:hint="eastAsia"/>
          <w:color w:val="auto"/>
          <w:highlight w:val="none"/>
          <w:lang w:val="en-US" w:eastAsia="zh-CN"/>
        </w:rPr>
        <w:t>收到省政府建设用地批复后，对接项目经办及时提供征地补偿安置方案、养老保障方案、附图等相关材料，代拟、审核征地公告。正式发布后，复核公告代拟材料信息完整性及准确性，跟踪公告挂网进度，直至完成公告在区政府和市自然资源局网站公示。</w:t>
      </w:r>
    </w:p>
    <w:p w14:paraId="03BE9C49">
      <w:pPr>
        <w:numPr>
          <w:ilvl w:val="0"/>
          <w:numId w:val="0"/>
        </w:numPr>
        <w:ind w:firstLine="560" w:firstLineChars="200"/>
        <w:rPr>
          <w:rFonts w:hint="default"/>
          <w:color w:val="auto"/>
          <w:lang w:val="en-US" w:eastAsia="zh-CN"/>
        </w:rPr>
      </w:pPr>
      <w:r>
        <w:rPr>
          <w:rFonts w:hint="eastAsia"/>
          <w:color w:val="auto"/>
          <w:lang w:val="en-US" w:eastAsia="zh-CN"/>
        </w:rPr>
        <w:t>3、跟进批后实施情况</w:t>
      </w:r>
    </w:p>
    <w:p w14:paraId="12842660">
      <w:pPr>
        <w:rPr>
          <w:rFonts w:hint="eastAsia"/>
          <w:color w:val="auto"/>
          <w:lang w:val="en-US" w:eastAsia="zh-CN"/>
        </w:rPr>
      </w:pPr>
      <w:r>
        <w:rPr>
          <w:rFonts w:hint="eastAsia"/>
          <w:color w:val="auto"/>
          <w:lang w:val="en-US" w:eastAsia="zh-CN"/>
        </w:rPr>
        <w:t>对照法定时限要求，跟踪批后实施办理进度，建立台账预警机制，对超期节点及时提醒，对接项目经办收回完税证明，定期整理并形成档案留存。</w:t>
      </w:r>
    </w:p>
    <w:p w14:paraId="5B103A16">
      <w:pPr>
        <w:numPr>
          <w:ilvl w:val="0"/>
          <w:numId w:val="0"/>
        </w:numPr>
        <w:ind w:firstLine="560" w:firstLineChars="200"/>
        <w:rPr>
          <w:rFonts w:hint="default"/>
          <w:color w:val="auto"/>
          <w:lang w:val="en-US" w:eastAsia="zh-CN"/>
        </w:rPr>
      </w:pPr>
      <w:r>
        <w:rPr>
          <w:rFonts w:hint="eastAsia"/>
          <w:color w:val="auto"/>
          <w:lang w:val="en-US" w:eastAsia="zh-CN"/>
        </w:rPr>
        <w:t>4、核查批后实施过程，并出具已完成批后实施的意见</w:t>
      </w:r>
    </w:p>
    <w:p w14:paraId="4E0E4A46">
      <w:pPr>
        <w:ind w:firstLine="560"/>
        <w:rPr>
          <w:color w:val="auto"/>
        </w:rPr>
      </w:pPr>
      <w:r>
        <w:rPr>
          <w:rFonts w:hint="eastAsia"/>
          <w:color w:val="auto"/>
          <w:lang w:val="en-US" w:eastAsia="zh-CN"/>
        </w:rPr>
        <w:t>协助核查项目地块税费缴交、权属注销、征地补偿等批后实施工作完成情况。按照相关政策文件要求，代拟《已完成批后实施的意见》，归集相关资料。</w:t>
      </w:r>
    </w:p>
    <w:p w14:paraId="79A11DCD">
      <w:pPr>
        <w:pStyle w:val="4"/>
        <w:rPr>
          <w:color w:val="auto"/>
        </w:rPr>
      </w:pPr>
      <w:r>
        <w:rPr>
          <w:rFonts w:hint="eastAsia"/>
          <w:color w:val="auto"/>
        </w:rPr>
        <w:t>批文红线核查及相关数据建库</w:t>
      </w:r>
    </w:p>
    <w:p w14:paraId="562941D2">
      <w:pPr>
        <w:numPr>
          <w:ilvl w:val="0"/>
          <w:numId w:val="0"/>
        </w:numPr>
        <w:ind w:firstLine="560" w:firstLineChars="200"/>
        <w:rPr>
          <w:color w:val="auto"/>
        </w:rPr>
      </w:pPr>
      <w:r>
        <w:rPr>
          <w:rFonts w:hint="eastAsia"/>
          <w:color w:val="auto"/>
          <w:lang w:val="en-US" w:eastAsia="zh-CN"/>
        </w:rPr>
        <w:t>1、历史批文核查</w:t>
      </w:r>
    </w:p>
    <w:p w14:paraId="3501E3EA">
      <w:pPr>
        <w:ind w:firstLine="560"/>
        <w:rPr>
          <w:rFonts w:hint="eastAsia"/>
          <w:color w:val="auto"/>
          <w:szCs w:val="32"/>
        </w:rPr>
      </w:pPr>
      <w:r>
        <w:rPr>
          <w:rFonts w:hint="eastAsia"/>
          <w:color w:val="auto"/>
          <w:lang w:val="en-US" w:eastAsia="zh-CN"/>
        </w:rPr>
        <w:t>历史批文核查涉及批前组卷、土地权属核查、农村房屋拆旧建新、外单位来函咨询等项目红线。首先需要对各类项目原始红线数据进行标准化处理，统一转换为2000国家大地坐标系，修正拓扑错误等问题。</w:t>
      </w:r>
      <w:r>
        <w:rPr>
          <w:rFonts w:hint="default"/>
          <w:color w:val="auto"/>
          <w:lang w:val="en-US" w:eastAsia="zh-CN"/>
        </w:rPr>
        <w:t>以标准化处理后的项目红线为核查对象，依托空间分析技术</w:t>
      </w:r>
      <w:r>
        <w:rPr>
          <w:rFonts w:hint="eastAsia"/>
          <w:color w:val="auto"/>
          <w:lang w:val="en-US" w:eastAsia="zh-CN"/>
        </w:rPr>
        <w:t>进行</w:t>
      </w:r>
      <w:r>
        <w:rPr>
          <w:rFonts w:hint="default"/>
          <w:color w:val="auto"/>
          <w:lang w:val="en-US" w:eastAsia="zh-CN"/>
        </w:rPr>
        <w:t>叠加分析，判别项目红线与</w:t>
      </w:r>
      <w:r>
        <w:rPr>
          <w:rFonts w:hint="eastAsia"/>
          <w:color w:val="auto"/>
          <w:lang w:val="en-US" w:eastAsia="zh-CN"/>
        </w:rPr>
        <w:t>历史批文</w:t>
      </w:r>
      <w:r>
        <w:rPr>
          <w:rFonts w:hint="default"/>
          <w:color w:val="auto"/>
          <w:lang w:val="en-US" w:eastAsia="zh-CN"/>
        </w:rPr>
        <w:t>红线是否存界线占压等问题，精准标记问题红线、明确占压范围、</w:t>
      </w:r>
      <w:r>
        <w:rPr>
          <w:rFonts w:hint="eastAsia"/>
          <w:color w:val="auto"/>
          <w:lang w:val="en-US" w:eastAsia="zh-CN"/>
        </w:rPr>
        <w:t>压占批文</w:t>
      </w:r>
      <w:r>
        <w:rPr>
          <w:rFonts w:hint="default"/>
          <w:color w:val="auto"/>
          <w:lang w:val="en-US" w:eastAsia="zh-CN"/>
        </w:rPr>
        <w:t>等关键信息，</w:t>
      </w:r>
      <w:r>
        <w:rPr>
          <w:rFonts w:hint="eastAsia"/>
          <w:color w:val="auto"/>
          <w:lang w:val="en-US" w:eastAsia="zh-CN"/>
        </w:rPr>
        <w:t>调取相关档案以便后续核查</w:t>
      </w:r>
      <w:r>
        <w:rPr>
          <w:rFonts w:hint="eastAsia"/>
          <w:color w:val="auto"/>
          <w:szCs w:val="32"/>
        </w:rPr>
        <w:t>。</w:t>
      </w:r>
    </w:p>
    <w:p w14:paraId="12821121">
      <w:pPr>
        <w:numPr>
          <w:ilvl w:val="0"/>
          <w:numId w:val="0"/>
        </w:numPr>
        <w:ind w:firstLine="560" w:firstLineChars="200"/>
        <w:rPr>
          <w:color w:val="auto"/>
        </w:rPr>
      </w:pPr>
      <w:r>
        <w:rPr>
          <w:rFonts w:hint="eastAsia"/>
          <w:color w:val="auto"/>
          <w:lang w:val="en-US" w:eastAsia="zh-CN"/>
        </w:rPr>
        <w:t>2、红线数据治理</w:t>
      </w:r>
    </w:p>
    <w:p w14:paraId="06F399CB">
      <w:pPr>
        <w:ind w:firstLine="560"/>
        <w:rPr>
          <w:rFonts w:hint="eastAsia"/>
          <w:color w:val="auto"/>
          <w:lang w:val="en-US" w:eastAsia="zh-CN"/>
        </w:rPr>
      </w:pPr>
      <w:r>
        <w:rPr>
          <w:rFonts w:hint="eastAsia"/>
          <w:color w:val="auto"/>
          <w:lang w:val="en-US" w:eastAsia="zh-CN"/>
        </w:rPr>
        <w:t>依托历史批文红线核查资料，对核查过程中遇到的面积偏差、坐标失真、数据错漏等核心问题，开展批文红线数据治理工作。收集批文红线的批复文档、原始图纸等材料，将矢量数据与电子批文档案进行匹配核验。重点比对红线矢量面积与批文档案载明批复面积，对面积误差大于2%的红线进行记录及复核。对需纠正的偏差红线，还原档案图纸的坐标控制点，会同分局地理信息中心重新矢量化描线、核算面积，完成红线数据纠错整改，消除面积偏差、坐标偏移问题。</w:t>
      </w:r>
    </w:p>
    <w:p w14:paraId="7BBE135B">
      <w:pPr>
        <w:numPr>
          <w:ilvl w:val="0"/>
          <w:numId w:val="0"/>
        </w:numPr>
        <w:ind w:firstLine="560" w:firstLineChars="200"/>
        <w:rPr>
          <w:color w:val="auto"/>
        </w:rPr>
      </w:pPr>
      <w:r>
        <w:rPr>
          <w:rFonts w:hint="eastAsia"/>
          <w:color w:val="auto"/>
          <w:lang w:val="en-US" w:eastAsia="zh-CN"/>
        </w:rPr>
        <w:t>3、相关红线数据建库</w:t>
      </w:r>
    </w:p>
    <w:p w14:paraId="09039E13">
      <w:pPr>
        <w:ind w:firstLine="560"/>
        <w:rPr>
          <w:rFonts w:hint="eastAsia"/>
          <w:color w:val="auto"/>
          <w:lang w:val="en-US" w:eastAsia="zh-CN"/>
        </w:rPr>
      </w:pPr>
      <w:r>
        <w:rPr>
          <w:rFonts w:hint="eastAsia"/>
          <w:color w:val="auto"/>
          <w:lang w:val="en-US" w:eastAsia="zh-CN"/>
        </w:rPr>
        <w:t>对所有完成核查及校核的历史批文红线数据进行统一汇总入库、台账备注，逐渐实现红线数据动态更新和规范维护。另外，及时对新增建设用地批复红线、临时用地批复红线进行整理汇总，按照规范标准建立矢量数据库、完善相关字段属性，为后续各类国土空间项目核查、空间规划等提供精准的数据支撑。</w:t>
      </w:r>
    </w:p>
    <w:p w14:paraId="4E1675B4">
      <w:pPr>
        <w:pStyle w:val="3"/>
        <w:rPr>
          <w:color w:val="auto"/>
        </w:rPr>
      </w:pPr>
      <w:bookmarkStart w:id="34" w:name="_Toc14245"/>
      <w:bookmarkStart w:id="35" w:name="_Toc32761"/>
      <w:bookmarkStart w:id="36" w:name="_Toc26561"/>
      <w:r>
        <w:rPr>
          <w:rFonts w:hint="eastAsia"/>
          <w:color w:val="auto"/>
        </w:rPr>
        <w:t>主要成果</w:t>
      </w:r>
      <w:bookmarkEnd w:id="34"/>
      <w:bookmarkEnd w:id="35"/>
      <w:bookmarkEnd w:id="36"/>
    </w:p>
    <w:p w14:paraId="613DE1C9">
      <w:pPr>
        <w:ind w:firstLine="560"/>
        <w:rPr>
          <w:color w:val="auto"/>
        </w:rPr>
      </w:pPr>
      <w:r>
        <w:rPr>
          <w:rFonts w:hint="eastAsia"/>
          <w:color w:val="auto"/>
        </w:rPr>
        <w:t>本技术服务工作</w:t>
      </w:r>
      <w:r>
        <w:rPr>
          <w:rFonts w:hint="eastAsia"/>
          <w:color w:val="auto"/>
          <w:lang w:val="en-US" w:eastAsia="zh-CN"/>
        </w:rPr>
        <w:t>包含农转用报批材料技术审查、土地征收成片开发审查技术服务、批前工作技术审查、批后实施工作技术审查、批文红线核查及相关数据建库五大部分，主要</w:t>
      </w:r>
      <w:r>
        <w:rPr>
          <w:rFonts w:hint="eastAsia"/>
          <w:color w:val="auto"/>
        </w:rPr>
        <w:t>成果详见下表：</w:t>
      </w:r>
    </w:p>
    <w:p w14:paraId="364B0861">
      <w:pPr>
        <w:ind w:firstLine="0" w:firstLineChars="0"/>
        <w:jc w:val="center"/>
        <w:rPr>
          <w:b/>
          <w:color w:val="auto"/>
        </w:rPr>
      </w:pPr>
      <w:r>
        <w:rPr>
          <w:rFonts w:hint="eastAsia"/>
          <w:b/>
          <w:color w:val="auto"/>
        </w:rPr>
        <w:t>主要成果内容列表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265"/>
        <w:gridCol w:w="1463"/>
        <w:gridCol w:w="3297"/>
      </w:tblGrid>
      <w:tr w14:paraId="0AD1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1" w:type="dxa"/>
            <w:shd w:val="clear" w:color="auto" w:fill="D7D7D7" w:themeFill="background1" w:themeFillShade="D8"/>
            <w:vAlign w:val="center"/>
          </w:tcPr>
          <w:p w14:paraId="5F2D8842">
            <w:pPr>
              <w:ind w:firstLine="0" w:firstLineChars="0"/>
              <w:jc w:val="center"/>
              <w:rPr>
                <w:b/>
                <w:color w:val="auto"/>
                <w:sz w:val="24"/>
                <w:szCs w:val="24"/>
              </w:rPr>
            </w:pPr>
            <w:r>
              <w:rPr>
                <w:rFonts w:hint="eastAsia"/>
                <w:b/>
                <w:color w:val="auto"/>
                <w:sz w:val="24"/>
                <w:szCs w:val="24"/>
              </w:rPr>
              <w:t>序号</w:t>
            </w:r>
          </w:p>
        </w:tc>
        <w:tc>
          <w:tcPr>
            <w:tcW w:w="2265" w:type="dxa"/>
            <w:shd w:val="clear" w:color="auto" w:fill="D7D7D7" w:themeFill="background1" w:themeFillShade="D8"/>
            <w:vAlign w:val="center"/>
          </w:tcPr>
          <w:p w14:paraId="0A2B0618">
            <w:pPr>
              <w:ind w:firstLine="0" w:firstLineChars="0"/>
              <w:jc w:val="center"/>
              <w:rPr>
                <w:b/>
                <w:color w:val="auto"/>
                <w:sz w:val="24"/>
                <w:szCs w:val="24"/>
              </w:rPr>
            </w:pPr>
            <w:r>
              <w:rPr>
                <w:rFonts w:hint="eastAsia"/>
                <w:b/>
                <w:color w:val="auto"/>
                <w:sz w:val="24"/>
                <w:szCs w:val="24"/>
              </w:rPr>
              <w:t>主要内容</w:t>
            </w:r>
          </w:p>
        </w:tc>
        <w:tc>
          <w:tcPr>
            <w:tcW w:w="1463" w:type="dxa"/>
            <w:shd w:val="clear" w:color="auto" w:fill="D7D7D7" w:themeFill="background1" w:themeFillShade="D8"/>
            <w:vAlign w:val="center"/>
          </w:tcPr>
          <w:p w14:paraId="6CB02599">
            <w:pPr>
              <w:ind w:firstLine="0" w:firstLineChars="0"/>
              <w:jc w:val="center"/>
              <w:rPr>
                <w:b/>
                <w:color w:val="auto"/>
                <w:sz w:val="24"/>
                <w:szCs w:val="24"/>
              </w:rPr>
            </w:pPr>
            <w:r>
              <w:rPr>
                <w:rFonts w:hint="eastAsia"/>
                <w:b/>
                <w:color w:val="auto"/>
                <w:sz w:val="24"/>
                <w:szCs w:val="24"/>
              </w:rPr>
              <w:t>成果内容</w:t>
            </w:r>
          </w:p>
        </w:tc>
        <w:tc>
          <w:tcPr>
            <w:tcW w:w="3297" w:type="dxa"/>
            <w:shd w:val="clear" w:color="auto" w:fill="D7D7D7" w:themeFill="background1" w:themeFillShade="D8"/>
            <w:vAlign w:val="center"/>
          </w:tcPr>
          <w:p w14:paraId="2AFFBB41">
            <w:pPr>
              <w:ind w:firstLine="0" w:firstLineChars="0"/>
              <w:jc w:val="center"/>
              <w:rPr>
                <w:b/>
                <w:color w:val="auto"/>
                <w:sz w:val="24"/>
                <w:szCs w:val="24"/>
              </w:rPr>
            </w:pPr>
            <w:r>
              <w:rPr>
                <w:rFonts w:hint="eastAsia"/>
                <w:b/>
                <w:color w:val="auto"/>
                <w:sz w:val="24"/>
                <w:szCs w:val="24"/>
              </w:rPr>
              <w:t>具体要求</w:t>
            </w:r>
          </w:p>
        </w:tc>
      </w:tr>
      <w:tr w14:paraId="0EF0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271" w:type="dxa"/>
            <w:vMerge w:val="restart"/>
            <w:shd w:val="clear" w:color="auto" w:fill="auto"/>
            <w:vAlign w:val="center"/>
          </w:tcPr>
          <w:p w14:paraId="59CFCC1B">
            <w:pPr>
              <w:ind w:firstLine="0" w:firstLineChars="0"/>
              <w:jc w:val="center"/>
              <w:rPr>
                <w:rFonts w:hint="eastAsia" w:ascii="Times New Roman" w:hAnsi="Times New Roman" w:eastAsia="仿宋" w:cs="Times New Roman"/>
                <w:color w:val="auto"/>
                <w:kern w:val="2"/>
                <w:sz w:val="24"/>
                <w:szCs w:val="24"/>
                <w:lang w:val="en-US" w:eastAsia="zh-CN" w:bidi="ar-SA"/>
              </w:rPr>
            </w:pPr>
            <w:r>
              <w:rPr>
                <w:rFonts w:hint="eastAsia"/>
                <w:color w:val="auto"/>
                <w:sz w:val="24"/>
                <w:szCs w:val="24"/>
                <w:lang w:val="en-US" w:eastAsia="zh-CN"/>
              </w:rPr>
              <w:t>1</w:t>
            </w:r>
          </w:p>
        </w:tc>
        <w:tc>
          <w:tcPr>
            <w:tcW w:w="2265" w:type="dxa"/>
            <w:vMerge w:val="restart"/>
            <w:shd w:val="clear" w:color="auto" w:fill="auto"/>
            <w:vAlign w:val="center"/>
          </w:tcPr>
          <w:p w14:paraId="7E483AD4">
            <w:pPr>
              <w:ind w:firstLine="0" w:firstLineChars="0"/>
              <w:jc w:val="center"/>
              <w:rPr>
                <w:rFonts w:hint="eastAsia" w:ascii="Times New Roman" w:hAnsi="Times New Roman" w:eastAsia="仿宋" w:cs="Times New Roman"/>
                <w:b w:val="0"/>
                <w:bCs w:val="0"/>
                <w:color w:val="auto"/>
                <w:kern w:val="2"/>
                <w:sz w:val="24"/>
                <w:szCs w:val="24"/>
                <w:lang w:val="en-US" w:eastAsia="zh-CN" w:bidi="ar-SA"/>
              </w:rPr>
            </w:pPr>
            <w:r>
              <w:rPr>
                <w:rFonts w:hint="eastAsia"/>
                <w:color w:val="auto"/>
                <w:sz w:val="24"/>
                <w:szCs w:val="24"/>
                <w:lang w:val="en-US" w:eastAsia="zh-CN"/>
              </w:rPr>
              <w:t>农转用报批材料技术审查</w:t>
            </w:r>
          </w:p>
        </w:tc>
        <w:tc>
          <w:tcPr>
            <w:tcW w:w="1463" w:type="dxa"/>
            <w:shd w:val="clear" w:color="auto" w:fill="auto"/>
            <w:vAlign w:val="center"/>
          </w:tcPr>
          <w:p w14:paraId="4DAF3347">
            <w:pPr>
              <w:ind w:firstLine="0" w:firstLineChars="0"/>
              <w:jc w:val="center"/>
              <w:rPr>
                <w:rFonts w:hint="eastAsia" w:ascii="Times New Roman" w:hAnsi="Times New Roman" w:eastAsia="仿宋" w:cs="Times New Roman"/>
                <w:color w:val="auto"/>
                <w:kern w:val="2"/>
                <w:sz w:val="24"/>
                <w:szCs w:val="24"/>
                <w:lang w:val="en-US" w:eastAsia="zh-CN" w:bidi="ar-SA"/>
              </w:rPr>
            </w:pPr>
            <w:r>
              <w:rPr>
                <w:rFonts w:hint="eastAsia"/>
                <w:color w:val="auto"/>
                <w:sz w:val="24"/>
                <w:szCs w:val="24"/>
                <w:lang w:val="en-US" w:eastAsia="zh-CN"/>
              </w:rPr>
              <w:t>审查意见书</w:t>
            </w:r>
          </w:p>
        </w:tc>
        <w:tc>
          <w:tcPr>
            <w:tcW w:w="3297" w:type="dxa"/>
            <w:shd w:val="clear" w:color="auto" w:fill="auto"/>
            <w:vAlign w:val="center"/>
          </w:tcPr>
          <w:p w14:paraId="4CA2DFB7">
            <w:pPr>
              <w:ind w:firstLine="0" w:firstLineChars="0"/>
              <w:jc w:val="both"/>
              <w:rPr>
                <w:rFonts w:hint="eastAsia" w:ascii="Times New Roman" w:hAnsi="Times New Roman" w:eastAsia="仿宋" w:cs="Times New Roman"/>
                <w:color w:val="auto"/>
                <w:kern w:val="2"/>
                <w:sz w:val="24"/>
                <w:szCs w:val="24"/>
                <w:lang w:val="en-US" w:eastAsia="zh-CN" w:bidi="ar-SA"/>
              </w:rPr>
            </w:pPr>
            <w:r>
              <w:rPr>
                <w:rFonts w:hint="eastAsia"/>
                <w:color w:val="auto"/>
                <w:sz w:val="24"/>
                <w:szCs w:val="24"/>
                <w:lang w:val="en-US" w:eastAsia="zh-CN"/>
              </w:rPr>
              <w:t>出具建设用地报批资料技术审查意见书。</w:t>
            </w:r>
          </w:p>
        </w:tc>
      </w:tr>
      <w:tr w14:paraId="2F04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271" w:type="dxa"/>
            <w:vMerge w:val="continue"/>
            <w:vAlign w:val="center"/>
          </w:tcPr>
          <w:p w14:paraId="72990B7F">
            <w:pPr>
              <w:ind w:firstLine="0" w:firstLineChars="0"/>
              <w:jc w:val="center"/>
              <w:rPr>
                <w:rFonts w:hint="eastAsia"/>
                <w:color w:val="auto"/>
                <w:sz w:val="24"/>
                <w:szCs w:val="24"/>
                <w:lang w:val="en-US" w:eastAsia="zh-CN"/>
              </w:rPr>
            </w:pPr>
          </w:p>
        </w:tc>
        <w:tc>
          <w:tcPr>
            <w:tcW w:w="2265" w:type="dxa"/>
            <w:vMerge w:val="continue"/>
            <w:vAlign w:val="center"/>
          </w:tcPr>
          <w:p w14:paraId="2DA30A0C">
            <w:pPr>
              <w:ind w:firstLine="0" w:firstLineChars="0"/>
              <w:jc w:val="center"/>
              <w:rPr>
                <w:rFonts w:hint="eastAsia"/>
                <w:color w:val="auto"/>
                <w:sz w:val="24"/>
                <w:szCs w:val="24"/>
              </w:rPr>
            </w:pPr>
          </w:p>
        </w:tc>
        <w:tc>
          <w:tcPr>
            <w:tcW w:w="1463" w:type="dxa"/>
            <w:shd w:val="clear" w:color="auto" w:fill="auto"/>
            <w:vAlign w:val="center"/>
          </w:tcPr>
          <w:p w14:paraId="20FA6EA0">
            <w:pPr>
              <w:ind w:firstLine="0" w:firstLineChars="0"/>
              <w:jc w:val="center"/>
              <w:rPr>
                <w:rFonts w:hint="eastAsia" w:ascii="Times New Roman" w:hAnsi="Times New Roman" w:eastAsia="仿宋" w:cs="Times New Roman"/>
                <w:color w:val="auto"/>
                <w:kern w:val="2"/>
                <w:sz w:val="24"/>
                <w:szCs w:val="24"/>
                <w:lang w:val="en-US" w:eastAsia="zh-CN" w:bidi="ar-SA"/>
              </w:rPr>
            </w:pPr>
            <w:r>
              <w:rPr>
                <w:rFonts w:hint="eastAsia"/>
                <w:color w:val="auto"/>
                <w:sz w:val="24"/>
                <w:szCs w:val="24"/>
                <w:lang w:val="en-US" w:eastAsia="zh-CN"/>
              </w:rPr>
              <w:t>技术审查总台账</w:t>
            </w:r>
          </w:p>
        </w:tc>
        <w:tc>
          <w:tcPr>
            <w:tcW w:w="3297" w:type="dxa"/>
            <w:shd w:val="clear" w:color="auto" w:fill="auto"/>
            <w:vAlign w:val="center"/>
          </w:tcPr>
          <w:p w14:paraId="2013122A">
            <w:pPr>
              <w:ind w:firstLine="0" w:firstLineChars="0"/>
              <w:jc w:val="both"/>
              <w:rPr>
                <w:rFonts w:hint="eastAsia" w:ascii="Times New Roman" w:hAnsi="Times New Roman" w:eastAsia="仿宋" w:cs="Times New Roman"/>
                <w:color w:val="auto"/>
                <w:kern w:val="2"/>
                <w:sz w:val="24"/>
                <w:szCs w:val="24"/>
                <w:lang w:val="en-US" w:eastAsia="zh-CN" w:bidi="ar-SA"/>
              </w:rPr>
            </w:pPr>
            <w:r>
              <w:rPr>
                <w:rFonts w:hint="eastAsia"/>
                <w:color w:val="auto"/>
                <w:sz w:val="24"/>
                <w:szCs w:val="24"/>
                <w:lang w:val="en-US" w:eastAsia="zh-CN"/>
              </w:rPr>
              <w:t>形成问题整改清单，逐条列清问题内容，最终形成技术审查总台账。</w:t>
            </w:r>
          </w:p>
        </w:tc>
      </w:tr>
      <w:tr w14:paraId="356E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271" w:type="dxa"/>
            <w:vMerge w:val="restart"/>
            <w:vAlign w:val="center"/>
          </w:tcPr>
          <w:p w14:paraId="39731CFA">
            <w:pPr>
              <w:ind w:firstLine="0" w:firstLineChars="0"/>
              <w:jc w:val="center"/>
              <w:rPr>
                <w:rFonts w:hint="default"/>
                <w:color w:val="auto"/>
                <w:sz w:val="24"/>
                <w:szCs w:val="24"/>
                <w:lang w:val="en-US" w:eastAsia="zh-CN"/>
              </w:rPr>
            </w:pPr>
            <w:r>
              <w:rPr>
                <w:rFonts w:hint="eastAsia"/>
                <w:color w:val="auto"/>
                <w:sz w:val="24"/>
                <w:szCs w:val="24"/>
                <w:lang w:val="en-US" w:eastAsia="zh-CN"/>
              </w:rPr>
              <w:t>2</w:t>
            </w:r>
          </w:p>
        </w:tc>
        <w:tc>
          <w:tcPr>
            <w:tcW w:w="2265" w:type="dxa"/>
            <w:vMerge w:val="restart"/>
            <w:vAlign w:val="center"/>
          </w:tcPr>
          <w:p w14:paraId="0F897903">
            <w:pPr>
              <w:ind w:firstLine="0" w:firstLineChars="0"/>
              <w:jc w:val="center"/>
              <w:rPr>
                <w:rFonts w:hint="eastAsia"/>
                <w:color w:val="auto"/>
                <w:sz w:val="24"/>
                <w:szCs w:val="24"/>
                <w:highlight w:val="none"/>
                <w:lang w:val="en-US" w:eastAsia="zh-CN"/>
              </w:rPr>
            </w:pPr>
            <w:r>
              <w:rPr>
                <w:color w:val="auto"/>
                <w:sz w:val="21"/>
              </w:rPr>
              <w:t>土地征收成片开发审查技术服务</w:t>
            </w:r>
          </w:p>
        </w:tc>
        <w:tc>
          <w:tcPr>
            <w:tcW w:w="1463" w:type="dxa"/>
            <w:shd w:val="clear" w:color="auto" w:fill="auto"/>
            <w:vAlign w:val="center"/>
          </w:tcPr>
          <w:p w14:paraId="4D5ED847">
            <w:pPr>
              <w:ind w:firstLine="0" w:firstLineChars="0"/>
              <w:jc w:val="center"/>
              <w:rPr>
                <w:rFonts w:hint="eastAsia" w:ascii="Times New Roman" w:hAnsi="Times New Roman" w:eastAsia="仿宋" w:cs="Times New Roman"/>
                <w:color w:val="auto"/>
                <w:kern w:val="2"/>
                <w:sz w:val="24"/>
                <w:szCs w:val="24"/>
                <w:lang w:val="en-US" w:eastAsia="zh-CN" w:bidi="ar-SA"/>
              </w:rPr>
            </w:pPr>
            <w:r>
              <w:rPr>
                <w:rFonts w:hint="eastAsia"/>
                <w:color w:val="auto"/>
                <w:sz w:val="24"/>
                <w:szCs w:val="24"/>
                <w:lang w:val="en-US" w:eastAsia="zh-CN"/>
              </w:rPr>
              <w:t>审查意见书</w:t>
            </w:r>
          </w:p>
        </w:tc>
        <w:tc>
          <w:tcPr>
            <w:tcW w:w="3297" w:type="dxa"/>
            <w:shd w:val="clear" w:color="auto" w:fill="auto"/>
            <w:vAlign w:val="center"/>
          </w:tcPr>
          <w:p w14:paraId="2103F8D3">
            <w:pPr>
              <w:ind w:firstLine="0" w:firstLineChars="0"/>
              <w:jc w:val="both"/>
              <w:rPr>
                <w:rFonts w:hint="eastAsia" w:ascii="Times New Roman" w:hAnsi="Times New Roman" w:eastAsia="仿宋" w:cs="Times New Roman"/>
                <w:color w:val="auto"/>
                <w:kern w:val="2"/>
                <w:sz w:val="24"/>
                <w:szCs w:val="24"/>
                <w:lang w:val="en-US" w:eastAsia="zh-CN" w:bidi="ar-SA"/>
              </w:rPr>
            </w:pPr>
            <w:r>
              <w:rPr>
                <w:rFonts w:hint="eastAsia"/>
                <w:color w:val="auto"/>
                <w:sz w:val="24"/>
                <w:szCs w:val="24"/>
                <w:lang w:val="en-US" w:eastAsia="zh-CN"/>
              </w:rPr>
              <w:t>出具成片开发方案资料技术审查意见书。</w:t>
            </w:r>
          </w:p>
        </w:tc>
      </w:tr>
      <w:tr w14:paraId="5EC41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271" w:type="dxa"/>
            <w:vMerge w:val="continue"/>
            <w:vAlign w:val="center"/>
          </w:tcPr>
          <w:p w14:paraId="21E60965">
            <w:pPr>
              <w:ind w:firstLine="0" w:firstLineChars="0"/>
              <w:jc w:val="center"/>
              <w:rPr>
                <w:rFonts w:hint="eastAsia"/>
                <w:color w:val="auto"/>
                <w:sz w:val="24"/>
                <w:szCs w:val="24"/>
                <w:lang w:val="en-US" w:eastAsia="zh-CN"/>
              </w:rPr>
            </w:pPr>
          </w:p>
        </w:tc>
        <w:tc>
          <w:tcPr>
            <w:tcW w:w="2265" w:type="dxa"/>
            <w:vMerge w:val="continue"/>
            <w:vAlign w:val="center"/>
          </w:tcPr>
          <w:p w14:paraId="5E6DB3F4">
            <w:pPr>
              <w:ind w:firstLine="0" w:firstLineChars="0"/>
              <w:jc w:val="center"/>
              <w:rPr>
                <w:rFonts w:hint="eastAsia"/>
                <w:color w:val="auto"/>
                <w:sz w:val="24"/>
                <w:szCs w:val="24"/>
                <w:highlight w:val="none"/>
                <w:lang w:val="en-US" w:eastAsia="zh-CN"/>
              </w:rPr>
            </w:pPr>
          </w:p>
        </w:tc>
        <w:tc>
          <w:tcPr>
            <w:tcW w:w="1463" w:type="dxa"/>
            <w:shd w:val="clear" w:color="auto" w:fill="auto"/>
            <w:vAlign w:val="center"/>
          </w:tcPr>
          <w:p w14:paraId="7E52DF13">
            <w:pPr>
              <w:ind w:firstLine="0" w:firstLineChars="0"/>
              <w:jc w:val="center"/>
              <w:rPr>
                <w:rFonts w:hint="eastAsia" w:ascii="Times New Roman" w:hAnsi="Times New Roman" w:eastAsia="仿宋" w:cs="Times New Roman"/>
                <w:color w:val="auto"/>
                <w:kern w:val="2"/>
                <w:sz w:val="24"/>
                <w:szCs w:val="24"/>
                <w:lang w:val="en-US" w:eastAsia="zh-CN" w:bidi="ar-SA"/>
              </w:rPr>
            </w:pPr>
            <w:r>
              <w:rPr>
                <w:rFonts w:hint="eastAsia"/>
                <w:color w:val="auto"/>
                <w:sz w:val="24"/>
                <w:szCs w:val="24"/>
                <w:lang w:val="en-US" w:eastAsia="zh-CN"/>
              </w:rPr>
              <w:t>技术审查总台账</w:t>
            </w:r>
          </w:p>
        </w:tc>
        <w:tc>
          <w:tcPr>
            <w:tcW w:w="3297" w:type="dxa"/>
            <w:shd w:val="clear" w:color="auto" w:fill="auto"/>
            <w:vAlign w:val="center"/>
          </w:tcPr>
          <w:p w14:paraId="06D80832">
            <w:pPr>
              <w:ind w:firstLine="0" w:firstLineChars="0"/>
              <w:jc w:val="both"/>
              <w:rPr>
                <w:rFonts w:hint="eastAsia" w:ascii="Times New Roman" w:hAnsi="Times New Roman" w:eastAsia="仿宋" w:cs="Times New Roman"/>
                <w:color w:val="auto"/>
                <w:kern w:val="2"/>
                <w:sz w:val="24"/>
                <w:szCs w:val="24"/>
                <w:lang w:val="en-US" w:eastAsia="zh-CN" w:bidi="ar-SA"/>
              </w:rPr>
            </w:pPr>
            <w:r>
              <w:rPr>
                <w:rFonts w:hint="eastAsia"/>
                <w:color w:val="auto"/>
                <w:sz w:val="24"/>
                <w:szCs w:val="24"/>
                <w:lang w:val="en-US" w:eastAsia="zh-CN"/>
              </w:rPr>
              <w:t>形成问题整改清单，逐条列清问题内容，最终形成技术审查总台账。</w:t>
            </w:r>
          </w:p>
        </w:tc>
      </w:tr>
      <w:tr w14:paraId="6B38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271" w:type="dxa"/>
            <w:vMerge w:val="restart"/>
            <w:vAlign w:val="center"/>
          </w:tcPr>
          <w:p w14:paraId="208D440C">
            <w:pPr>
              <w:ind w:firstLine="0" w:firstLineChars="0"/>
              <w:jc w:val="center"/>
              <w:rPr>
                <w:rFonts w:hint="eastAsia" w:eastAsia="仿宋"/>
                <w:color w:val="auto"/>
                <w:sz w:val="24"/>
                <w:szCs w:val="24"/>
                <w:lang w:val="en-US" w:eastAsia="zh-CN"/>
              </w:rPr>
            </w:pPr>
            <w:r>
              <w:rPr>
                <w:rFonts w:hint="eastAsia"/>
                <w:color w:val="auto"/>
                <w:sz w:val="24"/>
                <w:szCs w:val="24"/>
                <w:lang w:val="en-US" w:eastAsia="zh-CN"/>
              </w:rPr>
              <w:t>3</w:t>
            </w:r>
          </w:p>
        </w:tc>
        <w:tc>
          <w:tcPr>
            <w:tcW w:w="2265" w:type="dxa"/>
            <w:vMerge w:val="restart"/>
            <w:vAlign w:val="center"/>
          </w:tcPr>
          <w:p w14:paraId="459C9315">
            <w:pPr>
              <w:ind w:firstLine="0" w:firstLineChars="0"/>
              <w:jc w:val="center"/>
              <w:rPr>
                <w:rFonts w:hint="default" w:eastAsia="仿宋"/>
                <w:color w:val="auto"/>
                <w:sz w:val="24"/>
                <w:szCs w:val="24"/>
                <w:highlight w:val="none"/>
                <w:lang w:val="en-US" w:eastAsia="zh-CN"/>
              </w:rPr>
            </w:pPr>
            <w:r>
              <w:rPr>
                <w:rFonts w:hint="eastAsia"/>
                <w:color w:val="auto"/>
                <w:sz w:val="24"/>
                <w:szCs w:val="24"/>
                <w:highlight w:val="none"/>
                <w:lang w:val="en-US" w:eastAsia="zh-CN"/>
              </w:rPr>
              <w:t>批前工作技术审查</w:t>
            </w:r>
          </w:p>
        </w:tc>
        <w:tc>
          <w:tcPr>
            <w:tcW w:w="1463" w:type="dxa"/>
            <w:vAlign w:val="center"/>
          </w:tcPr>
          <w:p w14:paraId="532E71C5">
            <w:pPr>
              <w:ind w:firstLine="0" w:firstLineChars="0"/>
              <w:jc w:val="center"/>
              <w:rPr>
                <w:rFonts w:hint="eastAsia"/>
                <w:color w:val="auto"/>
                <w:sz w:val="24"/>
                <w:szCs w:val="24"/>
                <w:highlight w:val="none"/>
              </w:rPr>
            </w:pPr>
            <w:r>
              <w:rPr>
                <w:rFonts w:hint="eastAsia"/>
                <w:color w:val="auto"/>
                <w:sz w:val="24"/>
                <w:szCs w:val="24"/>
                <w:highlight w:val="none"/>
                <w:lang w:val="en-US" w:eastAsia="zh-CN"/>
              </w:rPr>
              <w:t>文本材料</w:t>
            </w:r>
          </w:p>
        </w:tc>
        <w:tc>
          <w:tcPr>
            <w:tcW w:w="3297" w:type="dxa"/>
            <w:vAlign w:val="center"/>
          </w:tcPr>
          <w:p w14:paraId="1B63299D">
            <w:pPr>
              <w:ind w:firstLine="0" w:firstLineChars="0"/>
              <w:jc w:val="both"/>
              <w:rPr>
                <w:rFonts w:hint="eastAsia"/>
                <w:color w:val="auto"/>
                <w:sz w:val="24"/>
                <w:szCs w:val="24"/>
                <w:lang w:val="en-US" w:eastAsia="zh-CN"/>
              </w:rPr>
            </w:pPr>
            <w:r>
              <w:rPr>
                <w:rFonts w:hint="eastAsia"/>
                <w:color w:val="auto"/>
                <w:sz w:val="24"/>
                <w:szCs w:val="24"/>
                <w:lang w:val="en-US" w:eastAsia="zh-CN"/>
              </w:rPr>
              <w:t>征收土地预公告、征地补偿安置公告及相关补充公告、征地协议签订情况表、社稳审查意见、实质性核查说明材料。</w:t>
            </w:r>
          </w:p>
        </w:tc>
      </w:tr>
      <w:tr w14:paraId="3BBE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271" w:type="dxa"/>
            <w:vMerge w:val="continue"/>
            <w:vAlign w:val="center"/>
          </w:tcPr>
          <w:p w14:paraId="398D4895">
            <w:pPr>
              <w:ind w:firstLine="0" w:firstLineChars="0"/>
              <w:jc w:val="both"/>
              <w:rPr>
                <w:color w:val="auto"/>
                <w:sz w:val="24"/>
                <w:szCs w:val="24"/>
              </w:rPr>
            </w:pPr>
          </w:p>
        </w:tc>
        <w:tc>
          <w:tcPr>
            <w:tcW w:w="2265" w:type="dxa"/>
            <w:vMerge w:val="continue"/>
            <w:vAlign w:val="center"/>
          </w:tcPr>
          <w:p w14:paraId="3524CA18">
            <w:pPr>
              <w:ind w:firstLine="0" w:firstLineChars="0"/>
              <w:jc w:val="center"/>
              <w:rPr>
                <w:color w:val="auto"/>
                <w:sz w:val="24"/>
                <w:szCs w:val="24"/>
              </w:rPr>
            </w:pPr>
          </w:p>
        </w:tc>
        <w:tc>
          <w:tcPr>
            <w:tcW w:w="1463" w:type="dxa"/>
            <w:vAlign w:val="center"/>
          </w:tcPr>
          <w:p w14:paraId="326C5D06">
            <w:pPr>
              <w:ind w:firstLine="0" w:firstLineChars="0"/>
              <w:jc w:val="center"/>
              <w:rPr>
                <w:rFonts w:hint="eastAsia"/>
                <w:color w:val="auto"/>
                <w:sz w:val="24"/>
                <w:szCs w:val="24"/>
              </w:rPr>
            </w:pPr>
            <w:r>
              <w:rPr>
                <w:rFonts w:hint="eastAsia"/>
                <w:color w:val="auto"/>
                <w:sz w:val="24"/>
                <w:szCs w:val="24"/>
                <w:lang w:val="en-US" w:eastAsia="zh-CN"/>
              </w:rPr>
              <w:t>表格台账</w:t>
            </w:r>
          </w:p>
        </w:tc>
        <w:tc>
          <w:tcPr>
            <w:tcW w:w="3297" w:type="dxa"/>
            <w:vAlign w:val="center"/>
          </w:tcPr>
          <w:p w14:paraId="24137019">
            <w:pPr>
              <w:ind w:firstLine="0" w:firstLineChars="0"/>
              <w:jc w:val="both"/>
              <w:rPr>
                <w:rFonts w:hint="eastAsia"/>
                <w:color w:val="auto"/>
                <w:sz w:val="24"/>
                <w:szCs w:val="24"/>
                <w:lang w:val="en-US" w:eastAsia="zh-CN"/>
              </w:rPr>
            </w:pPr>
            <w:r>
              <w:rPr>
                <w:rFonts w:hint="eastAsia"/>
                <w:color w:val="auto"/>
                <w:sz w:val="24"/>
                <w:szCs w:val="24"/>
                <w:lang w:val="en-US" w:eastAsia="zh-CN"/>
              </w:rPr>
              <w:t>相关工作台账。</w:t>
            </w:r>
          </w:p>
        </w:tc>
      </w:tr>
      <w:tr w14:paraId="27C9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271" w:type="dxa"/>
            <w:vMerge w:val="restart"/>
            <w:vAlign w:val="center"/>
          </w:tcPr>
          <w:p w14:paraId="7AB4701C">
            <w:pPr>
              <w:ind w:firstLine="0" w:firstLineChars="0"/>
              <w:jc w:val="center"/>
              <w:rPr>
                <w:rFonts w:hint="eastAsia" w:eastAsia="仿宋"/>
                <w:color w:val="auto"/>
                <w:sz w:val="24"/>
                <w:szCs w:val="24"/>
                <w:highlight w:val="none"/>
                <w:lang w:val="en-US" w:eastAsia="zh-CN"/>
              </w:rPr>
            </w:pPr>
            <w:r>
              <w:rPr>
                <w:rFonts w:hint="eastAsia"/>
                <w:color w:val="auto"/>
                <w:sz w:val="24"/>
                <w:szCs w:val="24"/>
                <w:highlight w:val="none"/>
                <w:lang w:val="en-US" w:eastAsia="zh-CN"/>
              </w:rPr>
              <w:t>4</w:t>
            </w:r>
          </w:p>
        </w:tc>
        <w:tc>
          <w:tcPr>
            <w:tcW w:w="2265" w:type="dxa"/>
            <w:vMerge w:val="restart"/>
            <w:vAlign w:val="center"/>
          </w:tcPr>
          <w:p w14:paraId="1AA1D6FD">
            <w:pPr>
              <w:ind w:firstLine="0" w:firstLineChars="0"/>
              <w:jc w:val="center"/>
              <w:rPr>
                <w:rFonts w:hint="eastAsia"/>
                <w:color w:val="auto"/>
                <w:sz w:val="24"/>
                <w:szCs w:val="24"/>
                <w:highlight w:val="none"/>
              </w:rPr>
            </w:pPr>
            <w:r>
              <w:rPr>
                <w:rFonts w:hint="eastAsia"/>
                <w:color w:val="auto"/>
                <w:sz w:val="24"/>
                <w:szCs w:val="24"/>
                <w:highlight w:val="none"/>
                <w:lang w:val="en-US" w:eastAsia="zh-CN"/>
              </w:rPr>
              <w:t>批后实施工作技术审查</w:t>
            </w:r>
          </w:p>
        </w:tc>
        <w:tc>
          <w:tcPr>
            <w:tcW w:w="1463" w:type="dxa"/>
            <w:vAlign w:val="center"/>
          </w:tcPr>
          <w:p w14:paraId="446D67DB">
            <w:pPr>
              <w:ind w:firstLine="0" w:firstLineChars="0"/>
              <w:jc w:val="center"/>
              <w:rPr>
                <w:rFonts w:hint="default" w:eastAsia="仿宋"/>
                <w:color w:val="auto"/>
                <w:sz w:val="24"/>
                <w:szCs w:val="24"/>
                <w:lang w:val="en-US" w:eastAsia="zh-CN"/>
              </w:rPr>
            </w:pPr>
            <w:r>
              <w:rPr>
                <w:rFonts w:hint="eastAsia"/>
                <w:color w:val="auto"/>
                <w:sz w:val="24"/>
                <w:szCs w:val="24"/>
                <w:lang w:val="en-US" w:eastAsia="zh-CN"/>
              </w:rPr>
              <w:t>文本材料</w:t>
            </w:r>
          </w:p>
        </w:tc>
        <w:tc>
          <w:tcPr>
            <w:tcW w:w="3297" w:type="dxa"/>
            <w:vAlign w:val="center"/>
          </w:tcPr>
          <w:p w14:paraId="395AE72A">
            <w:pPr>
              <w:ind w:firstLine="0" w:firstLineChars="0"/>
              <w:jc w:val="both"/>
              <w:rPr>
                <w:rFonts w:hint="eastAsia"/>
                <w:color w:val="auto"/>
                <w:sz w:val="24"/>
                <w:szCs w:val="24"/>
                <w:lang w:val="en-US" w:eastAsia="zh-CN"/>
              </w:rPr>
            </w:pPr>
            <w:r>
              <w:rPr>
                <w:rFonts w:hint="eastAsia"/>
                <w:color w:val="auto"/>
                <w:sz w:val="24"/>
                <w:szCs w:val="24"/>
                <w:lang w:val="en-US" w:eastAsia="zh-CN"/>
              </w:rPr>
              <w:t>整理建设用地批文、批后实施通知、税单、征地公告等正式文本。</w:t>
            </w:r>
          </w:p>
          <w:p w14:paraId="03FDC1D7">
            <w:pPr>
              <w:ind w:firstLine="0" w:firstLineChars="0"/>
              <w:jc w:val="both"/>
              <w:rPr>
                <w:rFonts w:hint="default"/>
                <w:color w:val="auto"/>
                <w:sz w:val="24"/>
                <w:szCs w:val="24"/>
                <w:lang w:val="en-US" w:eastAsia="zh-CN"/>
              </w:rPr>
            </w:pPr>
            <w:r>
              <w:rPr>
                <w:rFonts w:hint="eastAsia"/>
                <w:color w:val="auto"/>
                <w:sz w:val="24"/>
                <w:szCs w:val="24"/>
                <w:lang w:val="en-US" w:eastAsia="zh-CN"/>
              </w:rPr>
              <w:t>完成批后实施文本材料整理。</w:t>
            </w:r>
          </w:p>
        </w:tc>
      </w:tr>
      <w:tr w14:paraId="25E1B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271" w:type="dxa"/>
            <w:vMerge w:val="continue"/>
            <w:vAlign w:val="center"/>
          </w:tcPr>
          <w:p w14:paraId="7BD59196">
            <w:pPr>
              <w:ind w:firstLine="0" w:firstLineChars="0"/>
              <w:jc w:val="center"/>
              <w:rPr>
                <w:rFonts w:hint="eastAsia"/>
                <w:color w:val="auto"/>
                <w:sz w:val="24"/>
                <w:szCs w:val="24"/>
                <w:lang w:val="en-US" w:eastAsia="zh-CN"/>
              </w:rPr>
            </w:pPr>
          </w:p>
        </w:tc>
        <w:tc>
          <w:tcPr>
            <w:tcW w:w="2265" w:type="dxa"/>
            <w:vMerge w:val="continue"/>
            <w:vAlign w:val="center"/>
          </w:tcPr>
          <w:p w14:paraId="605B7F99">
            <w:pPr>
              <w:ind w:firstLine="0" w:firstLineChars="0"/>
              <w:jc w:val="center"/>
              <w:rPr>
                <w:rFonts w:hint="eastAsia"/>
                <w:color w:val="auto"/>
                <w:sz w:val="24"/>
                <w:szCs w:val="24"/>
                <w:lang w:val="en-US" w:eastAsia="zh-CN"/>
              </w:rPr>
            </w:pPr>
          </w:p>
        </w:tc>
        <w:tc>
          <w:tcPr>
            <w:tcW w:w="1463" w:type="dxa"/>
            <w:vAlign w:val="center"/>
          </w:tcPr>
          <w:p w14:paraId="100CA1F1">
            <w:pPr>
              <w:ind w:firstLine="0" w:firstLineChars="0"/>
              <w:jc w:val="center"/>
              <w:rPr>
                <w:rFonts w:hint="default" w:eastAsia="仿宋"/>
                <w:color w:val="auto"/>
                <w:sz w:val="24"/>
                <w:szCs w:val="24"/>
                <w:lang w:val="en-US" w:eastAsia="zh-CN"/>
              </w:rPr>
            </w:pPr>
            <w:r>
              <w:rPr>
                <w:rFonts w:hint="eastAsia"/>
                <w:color w:val="auto"/>
                <w:sz w:val="24"/>
                <w:szCs w:val="24"/>
                <w:lang w:val="en-US" w:eastAsia="zh-CN"/>
              </w:rPr>
              <w:t>表格台账</w:t>
            </w:r>
          </w:p>
        </w:tc>
        <w:tc>
          <w:tcPr>
            <w:tcW w:w="3297" w:type="dxa"/>
            <w:vAlign w:val="center"/>
          </w:tcPr>
          <w:p w14:paraId="3CB3328A">
            <w:pPr>
              <w:ind w:firstLine="0" w:firstLineChars="0"/>
              <w:jc w:val="both"/>
              <w:rPr>
                <w:rFonts w:hint="eastAsia"/>
                <w:color w:val="auto"/>
                <w:sz w:val="24"/>
                <w:szCs w:val="24"/>
                <w:lang w:val="en-US" w:eastAsia="zh-CN"/>
              </w:rPr>
            </w:pPr>
            <w:r>
              <w:rPr>
                <w:rFonts w:hint="eastAsia"/>
                <w:color w:val="auto"/>
                <w:sz w:val="24"/>
                <w:szCs w:val="24"/>
                <w:lang w:val="en-US" w:eastAsia="zh-CN"/>
              </w:rPr>
              <w:t>建立批后实施项目动态管理台账，完整记录批后实施情况。</w:t>
            </w:r>
          </w:p>
          <w:p w14:paraId="60170029">
            <w:pPr>
              <w:ind w:firstLine="0" w:firstLineChars="0"/>
              <w:jc w:val="both"/>
              <w:rPr>
                <w:rFonts w:hint="default"/>
                <w:color w:val="auto"/>
                <w:sz w:val="24"/>
                <w:szCs w:val="24"/>
                <w:lang w:val="en-US"/>
              </w:rPr>
            </w:pPr>
            <w:r>
              <w:rPr>
                <w:rFonts w:hint="eastAsia"/>
                <w:color w:val="auto"/>
                <w:sz w:val="24"/>
                <w:szCs w:val="24"/>
                <w:lang w:val="en-US" w:eastAsia="zh-CN"/>
              </w:rPr>
              <w:t>形成已完成批后实施意见相关工作台账。</w:t>
            </w:r>
          </w:p>
        </w:tc>
      </w:tr>
      <w:tr w14:paraId="3742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271" w:type="dxa"/>
            <w:vMerge w:val="restart"/>
            <w:shd w:val="clear" w:color="auto" w:fill="auto"/>
            <w:vAlign w:val="center"/>
          </w:tcPr>
          <w:p w14:paraId="6CA0C4C6">
            <w:pPr>
              <w:ind w:firstLine="0" w:firstLineChars="0"/>
              <w:jc w:val="center"/>
              <w:rPr>
                <w:rFonts w:hint="eastAsia" w:eastAsia="仿宋"/>
                <w:color w:val="auto"/>
                <w:sz w:val="24"/>
                <w:szCs w:val="24"/>
                <w:lang w:val="en-US" w:eastAsia="zh-CN"/>
              </w:rPr>
            </w:pPr>
            <w:r>
              <w:rPr>
                <w:rFonts w:hint="eastAsia" w:cs="Times New Roman"/>
                <w:color w:val="auto"/>
                <w:kern w:val="2"/>
                <w:sz w:val="24"/>
                <w:szCs w:val="24"/>
                <w:lang w:val="en-US" w:eastAsia="zh-CN" w:bidi="ar-SA"/>
              </w:rPr>
              <w:t>5</w:t>
            </w:r>
          </w:p>
        </w:tc>
        <w:tc>
          <w:tcPr>
            <w:tcW w:w="2265" w:type="dxa"/>
            <w:vMerge w:val="restart"/>
            <w:shd w:val="clear" w:color="auto" w:fill="auto"/>
            <w:vAlign w:val="center"/>
          </w:tcPr>
          <w:p w14:paraId="78873033">
            <w:pPr>
              <w:ind w:firstLine="0" w:firstLineChars="0"/>
              <w:jc w:val="center"/>
              <w:rPr>
                <w:rFonts w:ascii="Times New Roman" w:hAnsi="Times New Roman" w:eastAsia="仿宋" w:cs="Times New Roman"/>
                <w:color w:val="auto"/>
                <w:kern w:val="2"/>
                <w:sz w:val="24"/>
                <w:szCs w:val="24"/>
                <w:lang w:val="en-US" w:eastAsia="zh-CN" w:bidi="ar-SA"/>
              </w:rPr>
            </w:pPr>
            <w:r>
              <w:rPr>
                <w:rFonts w:hint="eastAsia"/>
                <w:color w:val="auto"/>
                <w:sz w:val="24"/>
                <w:szCs w:val="24"/>
              </w:rPr>
              <w:t>批文红线核查及相关数据建库</w:t>
            </w:r>
          </w:p>
          <w:p w14:paraId="1DC048E4">
            <w:pPr>
              <w:ind w:firstLine="0" w:firstLineChars="0"/>
              <w:jc w:val="center"/>
              <w:rPr>
                <w:rFonts w:hint="eastAsia" w:ascii="Times New Roman" w:hAnsi="Times New Roman" w:eastAsia="仿宋" w:cs="Times New Roman"/>
                <w:b w:val="0"/>
                <w:bCs w:val="0"/>
                <w:color w:val="auto"/>
                <w:kern w:val="2"/>
                <w:sz w:val="24"/>
                <w:szCs w:val="24"/>
                <w:lang w:val="en-US" w:eastAsia="zh-CN" w:bidi="ar-SA"/>
              </w:rPr>
            </w:pPr>
          </w:p>
        </w:tc>
        <w:tc>
          <w:tcPr>
            <w:tcW w:w="1463" w:type="dxa"/>
            <w:shd w:val="clear" w:color="auto" w:fill="auto"/>
            <w:vAlign w:val="center"/>
          </w:tcPr>
          <w:p w14:paraId="5BB87F4B">
            <w:pPr>
              <w:ind w:firstLine="0" w:firstLineChars="0"/>
              <w:jc w:val="center"/>
              <w:rPr>
                <w:rFonts w:hint="default" w:ascii="Times New Roman" w:hAnsi="Times New Roman" w:eastAsia="仿宋" w:cs="Times New Roman"/>
                <w:color w:val="auto"/>
                <w:kern w:val="2"/>
                <w:sz w:val="24"/>
                <w:szCs w:val="24"/>
                <w:lang w:val="en-US" w:eastAsia="zh-CN" w:bidi="ar-SA"/>
              </w:rPr>
            </w:pPr>
            <w:r>
              <w:rPr>
                <w:rFonts w:hint="eastAsia"/>
                <w:color w:val="auto"/>
                <w:sz w:val="24"/>
                <w:szCs w:val="24"/>
              </w:rPr>
              <w:t>空间矢量数据</w:t>
            </w:r>
          </w:p>
        </w:tc>
        <w:tc>
          <w:tcPr>
            <w:tcW w:w="3297" w:type="dxa"/>
            <w:shd w:val="clear" w:color="auto" w:fill="auto"/>
            <w:vAlign w:val="center"/>
          </w:tcPr>
          <w:p w14:paraId="651A22D8">
            <w:pPr>
              <w:ind w:firstLine="0" w:firstLineChars="0"/>
              <w:jc w:val="both"/>
              <w:rPr>
                <w:rFonts w:hint="eastAsia"/>
                <w:color w:val="auto"/>
                <w:sz w:val="24"/>
                <w:szCs w:val="24"/>
                <w:lang w:val="en-US" w:eastAsia="zh-CN"/>
              </w:rPr>
            </w:pPr>
            <w:r>
              <w:rPr>
                <w:rFonts w:hint="eastAsia"/>
                <w:color w:val="auto"/>
                <w:sz w:val="24"/>
                <w:szCs w:val="24"/>
                <w:lang w:val="en-US" w:eastAsia="zh-CN"/>
              </w:rPr>
              <w:t>历史批文红线占压分析结果；</w:t>
            </w:r>
          </w:p>
          <w:p w14:paraId="1C8B5F15">
            <w:pPr>
              <w:pStyle w:val="22"/>
              <w:jc w:val="both"/>
              <w:rPr>
                <w:rFonts w:hint="default" w:ascii="Times New Roman" w:hAnsi="Times New Roman" w:eastAsia="Times New Roman" w:cs="Times New Roman"/>
                <w:color w:val="auto"/>
                <w:sz w:val="24"/>
                <w:szCs w:val="22"/>
                <w:lang w:val="en-US" w:eastAsia="zh-CN" w:bidi="ar-SA"/>
              </w:rPr>
            </w:pPr>
            <w:r>
              <w:rPr>
                <w:rFonts w:hint="eastAsia" w:eastAsia="仿宋" w:cs="Times New Roman"/>
                <w:color w:val="auto"/>
                <w:kern w:val="2"/>
                <w:sz w:val="24"/>
                <w:szCs w:val="24"/>
                <w:lang w:val="en-US" w:eastAsia="zh-CN" w:bidi="ar-SA"/>
              </w:rPr>
              <w:t>历史批文、新增建设用地、临时用地等</w:t>
            </w:r>
            <w:r>
              <w:rPr>
                <w:rFonts w:hint="eastAsia" w:ascii="Times New Roman" w:hAnsi="Times New Roman" w:eastAsia="仿宋" w:cs="Times New Roman"/>
                <w:color w:val="auto"/>
                <w:kern w:val="2"/>
                <w:sz w:val="24"/>
                <w:szCs w:val="24"/>
                <w:lang w:val="en-US" w:eastAsia="zh-CN" w:bidi="ar-SA"/>
              </w:rPr>
              <w:t>相关</w:t>
            </w:r>
            <w:r>
              <w:rPr>
                <w:rFonts w:hint="eastAsia" w:eastAsia="仿宋" w:cs="Times New Roman"/>
                <w:color w:val="auto"/>
                <w:kern w:val="2"/>
                <w:sz w:val="24"/>
                <w:szCs w:val="24"/>
                <w:lang w:val="en-US" w:eastAsia="zh-CN" w:bidi="ar-SA"/>
              </w:rPr>
              <w:t>红线</w:t>
            </w:r>
            <w:r>
              <w:rPr>
                <w:rFonts w:hint="eastAsia" w:ascii="Times New Roman" w:hAnsi="Times New Roman" w:eastAsia="仿宋" w:cs="Times New Roman"/>
                <w:color w:val="auto"/>
                <w:kern w:val="2"/>
                <w:sz w:val="24"/>
                <w:szCs w:val="24"/>
                <w:lang w:val="en-US" w:eastAsia="zh-CN" w:bidi="ar-SA"/>
              </w:rPr>
              <w:t>数据库。</w:t>
            </w:r>
          </w:p>
        </w:tc>
      </w:tr>
      <w:tr w14:paraId="0514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271" w:type="dxa"/>
            <w:vMerge w:val="continue"/>
            <w:vAlign w:val="center"/>
          </w:tcPr>
          <w:p w14:paraId="6CA3DC33">
            <w:pPr>
              <w:ind w:firstLine="0" w:firstLineChars="0"/>
              <w:jc w:val="center"/>
              <w:rPr>
                <w:rFonts w:hint="eastAsia"/>
                <w:color w:val="auto"/>
                <w:sz w:val="24"/>
                <w:szCs w:val="24"/>
                <w:lang w:val="en-US" w:eastAsia="zh-CN"/>
              </w:rPr>
            </w:pPr>
          </w:p>
        </w:tc>
        <w:tc>
          <w:tcPr>
            <w:tcW w:w="2265" w:type="dxa"/>
            <w:vMerge w:val="continue"/>
            <w:vAlign w:val="center"/>
          </w:tcPr>
          <w:p w14:paraId="6A0DB26C">
            <w:pPr>
              <w:ind w:firstLine="0" w:firstLineChars="0"/>
              <w:jc w:val="center"/>
              <w:rPr>
                <w:rFonts w:hint="eastAsia" w:ascii="Times New Roman" w:hAnsi="Times New Roman" w:eastAsia="仿宋" w:cs="Times New Roman"/>
                <w:b w:val="0"/>
                <w:bCs w:val="0"/>
                <w:color w:val="auto"/>
                <w:kern w:val="2"/>
                <w:sz w:val="24"/>
                <w:szCs w:val="24"/>
                <w:lang w:val="en-US" w:eastAsia="zh-CN" w:bidi="ar-SA"/>
              </w:rPr>
            </w:pPr>
          </w:p>
        </w:tc>
        <w:tc>
          <w:tcPr>
            <w:tcW w:w="1463" w:type="dxa"/>
            <w:shd w:val="clear" w:color="auto" w:fill="auto"/>
            <w:vAlign w:val="center"/>
          </w:tcPr>
          <w:p w14:paraId="1F093422">
            <w:pPr>
              <w:ind w:firstLine="0" w:firstLineChars="0"/>
              <w:jc w:val="center"/>
              <w:rPr>
                <w:rFonts w:hint="eastAsia" w:ascii="Times New Roman" w:hAnsi="Times New Roman" w:eastAsia="仿宋" w:cs="Times New Roman"/>
                <w:color w:val="auto"/>
                <w:kern w:val="2"/>
                <w:sz w:val="24"/>
                <w:szCs w:val="24"/>
                <w:lang w:val="en-US" w:eastAsia="zh-CN" w:bidi="ar-SA"/>
              </w:rPr>
            </w:pPr>
            <w:r>
              <w:rPr>
                <w:rFonts w:hint="eastAsia"/>
                <w:color w:val="auto"/>
                <w:sz w:val="24"/>
                <w:szCs w:val="24"/>
              </w:rPr>
              <w:t>文本材料</w:t>
            </w:r>
          </w:p>
        </w:tc>
        <w:tc>
          <w:tcPr>
            <w:tcW w:w="3297" w:type="dxa"/>
            <w:shd w:val="clear" w:color="auto" w:fill="auto"/>
            <w:vAlign w:val="center"/>
          </w:tcPr>
          <w:p w14:paraId="73765DB6">
            <w:pPr>
              <w:ind w:firstLine="0" w:firstLineChars="0"/>
              <w:jc w:val="both"/>
              <w:rPr>
                <w:rFonts w:hint="eastAsia" w:ascii="Times New Roman" w:hAnsi="Times New Roman" w:eastAsia="仿宋" w:cs="Times New Roman"/>
                <w:color w:val="auto"/>
                <w:kern w:val="2"/>
                <w:sz w:val="24"/>
                <w:szCs w:val="24"/>
                <w:lang w:val="en-US" w:eastAsia="zh-CN" w:bidi="ar-SA"/>
              </w:rPr>
            </w:pPr>
            <w:r>
              <w:rPr>
                <w:rFonts w:hint="eastAsia"/>
                <w:color w:val="auto"/>
                <w:sz w:val="24"/>
                <w:szCs w:val="24"/>
                <w:lang w:val="en-US" w:eastAsia="zh-CN"/>
              </w:rPr>
              <w:t>压占结果的相关</w:t>
            </w:r>
            <w:r>
              <w:rPr>
                <w:rFonts w:hint="eastAsia"/>
                <w:color w:val="auto"/>
                <w:sz w:val="24"/>
                <w:szCs w:val="24"/>
              </w:rPr>
              <w:t>批复文件</w:t>
            </w:r>
            <w:r>
              <w:rPr>
                <w:rFonts w:hint="eastAsia"/>
                <w:color w:val="auto"/>
                <w:sz w:val="24"/>
                <w:szCs w:val="24"/>
                <w:lang w:val="en-US" w:eastAsia="zh-CN"/>
              </w:rPr>
              <w:t>整理</w:t>
            </w:r>
            <w:r>
              <w:rPr>
                <w:rFonts w:hint="eastAsia"/>
                <w:color w:val="auto"/>
                <w:sz w:val="24"/>
                <w:szCs w:val="24"/>
                <w:lang w:eastAsia="zh-CN"/>
              </w:rPr>
              <w:t>。</w:t>
            </w:r>
          </w:p>
        </w:tc>
      </w:tr>
      <w:bookmarkEnd w:id="32"/>
    </w:tbl>
    <w:p w14:paraId="76CA4B24">
      <w:pPr>
        <w:ind w:left="0" w:leftChars="0" w:firstLine="0" w:firstLineChars="0"/>
        <w:rPr>
          <w:rFonts w:hint="default"/>
          <w:color w:val="auto"/>
          <w:lang w:val="en-US"/>
        </w:rPr>
      </w:pPr>
    </w:p>
    <w:sectPr>
      <w:footerReference r:id="rId12"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Arial Unicode MS">
    <w:altName w:val="宋体"/>
    <w:panose1 w:val="020B0604020202020204"/>
    <w:charset w:val="86"/>
    <w:family w:val="swiss"/>
    <w:pitch w:val="default"/>
    <w:sig w:usb0="00000000" w:usb1="00000000" w:usb2="0000003F" w:usb3="00000000" w:csb0="003F01FF" w:csb1="00000000"/>
  </w:font>
  <w:font w:name="System">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FA2FB">
    <w:pPr>
      <w:pStyle w:val="11"/>
      <w:ind w:firstLine="360"/>
      <w:jc w:val="center"/>
    </w:pPr>
  </w:p>
  <w:p w14:paraId="5896CBF1">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13732">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8559F">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21694147"/>
    </w:sdtPr>
    <w:sdtContent>
      <w:p w14:paraId="1F882418">
        <w:pPr>
          <w:pStyle w:val="11"/>
          <w:ind w:firstLine="360"/>
          <w:jc w:val="center"/>
        </w:pPr>
      </w:p>
    </w:sdtContent>
  </w:sdt>
  <w:p w14:paraId="4A79D0B5">
    <w:pPr>
      <w:pStyle w:val="11"/>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42108866"/>
    </w:sdtPr>
    <w:sdtContent>
      <w:p w14:paraId="36157DAC">
        <w:pPr>
          <w:pStyle w:val="11"/>
          <w:ind w:firstLine="360"/>
          <w:jc w:val="center"/>
        </w:pPr>
        <w:r>
          <w:fldChar w:fldCharType="begin"/>
        </w:r>
        <w:r>
          <w:instrText xml:space="preserve">PAGE   \* MERGEFORMAT</w:instrText>
        </w:r>
        <w:r>
          <w:fldChar w:fldCharType="separate"/>
        </w:r>
        <w:r>
          <w:rPr>
            <w:lang w:val="zh-CN"/>
          </w:rPr>
          <w:t>2</w:t>
        </w:r>
        <w:r>
          <w:fldChar w:fldCharType="end"/>
        </w:r>
      </w:p>
    </w:sdtContent>
  </w:sdt>
  <w:p w14:paraId="31DCBFB9">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81AEC">
    <w:pPr>
      <w:pStyle w:val="1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9388C">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E3C75">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2390FA"/>
    <w:multiLevelType w:val="multilevel"/>
    <w:tmpl w:val="E12390FA"/>
    <w:lvl w:ilvl="0" w:tentative="0">
      <w:start w:val="1"/>
      <w:numFmt w:val="decimal"/>
      <w:suff w:val="space"/>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7C8219E"/>
    <w:multiLevelType w:val="multilevel"/>
    <w:tmpl w:val="37C8219E"/>
    <w:lvl w:ilvl="0" w:tentative="0">
      <w:start w:val="1"/>
      <w:numFmt w:val="decimal"/>
      <w:lvlText w:val="%1."/>
      <w:lvlJc w:val="left"/>
      <w:pPr>
        <w:ind w:left="6516" w:hanging="420"/>
      </w:pPr>
    </w:lvl>
    <w:lvl w:ilvl="1" w:tentative="0">
      <w:start w:val="1"/>
      <w:numFmt w:val="lowerLetter"/>
      <w:lvlText w:val="%2)"/>
      <w:lvlJc w:val="left"/>
      <w:pPr>
        <w:ind w:left="6936" w:hanging="420"/>
      </w:pPr>
    </w:lvl>
    <w:lvl w:ilvl="2" w:tentative="0">
      <w:start w:val="1"/>
      <w:numFmt w:val="lowerRoman"/>
      <w:lvlText w:val="%3."/>
      <w:lvlJc w:val="right"/>
      <w:pPr>
        <w:ind w:left="7356" w:hanging="420"/>
      </w:pPr>
    </w:lvl>
    <w:lvl w:ilvl="3" w:tentative="0">
      <w:start w:val="1"/>
      <w:numFmt w:val="decimal"/>
      <w:lvlText w:val="%4."/>
      <w:lvlJc w:val="left"/>
      <w:pPr>
        <w:ind w:left="7776" w:hanging="420"/>
      </w:pPr>
    </w:lvl>
    <w:lvl w:ilvl="4" w:tentative="0">
      <w:start w:val="1"/>
      <w:numFmt w:val="lowerLetter"/>
      <w:lvlText w:val="%5)"/>
      <w:lvlJc w:val="left"/>
      <w:pPr>
        <w:ind w:left="8196" w:hanging="420"/>
      </w:pPr>
    </w:lvl>
    <w:lvl w:ilvl="5" w:tentative="0">
      <w:start w:val="1"/>
      <w:numFmt w:val="lowerRoman"/>
      <w:lvlText w:val="%6."/>
      <w:lvlJc w:val="right"/>
      <w:pPr>
        <w:ind w:left="8616" w:hanging="420"/>
      </w:pPr>
    </w:lvl>
    <w:lvl w:ilvl="6" w:tentative="0">
      <w:start w:val="1"/>
      <w:numFmt w:val="decimal"/>
      <w:lvlText w:val="%7."/>
      <w:lvlJc w:val="left"/>
      <w:pPr>
        <w:ind w:left="9036" w:hanging="420"/>
      </w:pPr>
    </w:lvl>
    <w:lvl w:ilvl="7" w:tentative="0">
      <w:start w:val="1"/>
      <w:numFmt w:val="lowerLetter"/>
      <w:lvlText w:val="%8)"/>
      <w:lvlJc w:val="left"/>
      <w:pPr>
        <w:ind w:left="9456" w:hanging="420"/>
      </w:pPr>
    </w:lvl>
    <w:lvl w:ilvl="8" w:tentative="0">
      <w:start w:val="1"/>
      <w:numFmt w:val="lowerRoman"/>
      <w:lvlText w:val="%9."/>
      <w:lvlJc w:val="right"/>
      <w:pPr>
        <w:ind w:left="9876" w:hanging="420"/>
      </w:pPr>
    </w:lvl>
  </w:abstractNum>
  <w:abstractNum w:abstractNumId="2">
    <w:nsid w:val="606F3A72"/>
    <w:multiLevelType w:val="multilevel"/>
    <w:tmpl w:val="606F3A72"/>
    <w:lvl w:ilvl="0" w:tentative="0">
      <w:start w:val="1"/>
      <w:numFmt w:val="decimal"/>
      <w:suff w:val="space"/>
      <w:lvlText w:val="%1"/>
      <w:lvlJc w:val="left"/>
      <w:pPr>
        <w:ind w:left="425" w:hanging="425"/>
      </w:pPr>
      <w:rPr>
        <w:rFonts w:hint="eastAsia"/>
      </w:rPr>
    </w:lvl>
    <w:lvl w:ilvl="1" w:tentative="0">
      <w:start w:val="1"/>
      <w:numFmt w:val="decimal"/>
      <w:suff w:val="space"/>
      <w:lvlText w:val="%1.%2"/>
      <w:lvlJc w:val="left"/>
      <w:pPr>
        <w:ind w:left="567" w:hanging="567"/>
      </w:pPr>
      <w:rPr>
        <w:rFonts w:hint="eastAsia"/>
      </w:rPr>
    </w:lvl>
    <w:lvl w:ilvl="2" w:tentative="0">
      <w:start w:val="1"/>
      <w:numFmt w:val="decimal"/>
      <w:suff w:val="space"/>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
    <w:nsid w:val="72AE547D"/>
    <w:multiLevelType w:val="multilevel"/>
    <w:tmpl w:val="72AE547D"/>
    <w:lvl w:ilvl="0" w:tentative="0">
      <w:start w:val="1"/>
      <w:numFmt w:val="decimal"/>
      <w:pStyle w:val="2"/>
      <w:suff w:val="space"/>
      <w:lvlText w:val="%1"/>
      <w:lvlJc w:val="left"/>
      <w:pPr>
        <w:ind w:left="0" w:firstLine="0"/>
      </w:pPr>
      <w:rPr>
        <w:rFonts w:hint="eastAsia"/>
      </w:rPr>
    </w:lvl>
    <w:lvl w:ilvl="1" w:tentative="0">
      <w:start w:val="1"/>
      <w:numFmt w:val="decimal"/>
      <w:pStyle w:val="3"/>
      <w:suff w:val="space"/>
      <w:lvlText w:val="%1.%2"/>
      <w:lvlJc w:val="left"/>
      <w:pPr>
        <w:ind w:left="283" w:firstLine="0"/>
      </w:pPr>
      <w:rPr>
        <w:rFonts w:hint="eastAsia"/>
      </w:rPr>
    </w:lvl>
    <w:lvl w:ilvl="2" w:tentative="0">
      <w:start w:val="1"/>
      <w:numFmt w:val="decimal"/>
      <w:pStyle w:val="4"/>
      <w:suff w:val="space"/>
      <w:lvlText w:val="%1.%2.%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
    <w:nsid w:val="778C40B7"/>
    <w:multiLevelType w:val="singleLevel"/>
    <w:tmpl w:val="778C40B7"/>
    <w:lvl w:ilvl="0" w:tentative="0">
      <w:start w:val="3"/>
      <w:numFmt w:val="decimal"/>
      <w:suff w:val="nothing"/>
      <w:lvlText w:val="%1、"/>
      <w:lvlJc w:val="left"/>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0ZmQxNTk2ZWJhN2Y3MTJlZjViYmQ4ZTBjMGM0NzgifQ=="/>
  </w:docVars>
  <w:rsids>
    <w:rsidRoot w:val="00172A27"/>
    <w:rsid w:val="0000036E"/>
    <w:rsid w:val="00000E8F"/>
    <w:rsid w:val="00003DDC"/>
    <w:rsid w:val="00004647"/>
    <w:rsid w:val="00004D6D"/>
    <w:rsid w:val="00005EF6"/>
    <w:rsid w:val="000077DF"/>
    <w:rsid w:val="000115C1"/>
    <w:rsid w:val="00017D77"/>
    <w:rsid w:val="00022DB1"/>
    <w:rsid w:val="000230C2"/>
    <w:rsid w:val="00023787"/>
    <w:rsid w:val="0002389E"/>
    <w:rsid w:val="00024352"/>
    <w:rsid w:val="000254EE"/>
    <w:rsid w:val="00030264"/>
    <w:rsid w:val="00030D9D"/>
    <w:rsid w:val="00035054"/>
    <w:rsid w:val="00035693"/>
    <w:rsid w:val="000404DB"/>
    <w:rsid w:val="00040677"/>
    <w:rsid w:val="00041C17"/>
    <w:rsid w:val="00042141"/>
    <w:rsid w:val="00043310"/>
    <w:rsid w:val="00044028"/>
    <w:rsid w:val="00045711"/>
    <w:rsid w:val="00045AAC"/>
    <w:rsid w:val="00046853"/>
    <w:rsid w:val="00046CB5"/>
    <w:rsid w:val="0004719B"/>
    <w:rsid w:val="00050BCD"/>
    <w:rsid w:val="00050EAF"/>
    <w:rsid w:val="00060D9E"/>
    <w:rsid w:val="0006261C"/>
    <w:rsid w:val="000626B9"/>
    <w:rsid w:val="0006346E"/>
    <w:rsid w:val="000644D1"/>
    <w:rsid w:val="00064767"/>
    <w:rsid w:val="00064D38"/>
    <w:rsid w:val="00071123"/>
    <w:rsid w:val="0007122E"/>
    <w:rsid w:val="00071C5A"/>
    <w:rsid w:val="00072427"/>
    <w:rsid w:val="000736A6"/>
    <w:rsid w:val="00074129"/>
    <w:rsid w:val="000745A0"/>
    <w:rsid w:val="00075916"/>
    <w:rsid w:val="000772DE"/>
    <w:rsid w:val="00081AAB"/>
    <w:rsid w:val="00082D59"/>
    <w:rsid w:val="00085317"/>
    <w:rsid w:val="00086DC3"/>
    <w:rsid w:val="00091119"/>
    <w:rsid w:val="00092638"/>
    <w:rsid w:val="0009391E"/>
    <w:rsid w:val="00093BB9"/>
    <w:rsid w:val="00093FA8"/>
    <w:rsid w:val="00095000"/>
    <w:rsid w:val="0009549E"/>
    <w:rsid w:val="000A2ABC"/>
    <w:rsid w:val="000A3FAD"/>
    <w:rsid w:val="000A55B5"/>
    <w:rsid w:val="000A6FC6"/>
    <w:rsid w:val="000B2547"/>
    <w:rsid w:val="000B29B2"/>
    <w:rsid w:val="000B62C4"/>
    <w:rsid w:val="000B6F15"/>
    <w:rsid w:val="000C012F"/>
    <w:rsid w:val="000C03B1"/>
    <w:rsid w:val="000C3531"/>
    <w:rsid w:val="000C4043"/>
    <w:rsid w:val="000C5EC0"/>
    <w:rsid w:val="000C6C72"/>
    <w:rsid w:val="000D1218"/>
    <w:rsid w:val="000D1AA2"/>
    <w:rsid w:val="000D2838"/>
    <w:rsid w:val="000D3B0D"/>
    <w:rsid w:val="000D452F"/>
    <w:rsid w:val="000D4CFD"/>
    <w:rsid w:val="000D4E5D"/>
    <w:rsid w:val="000D6352"/>
    <w:rsid w:val="000E3DBB"/>
    <w:rsid w:val="000E5133"/>
    <w:rsid w:val="000E5370"/>
    <w:rsid w:val="000E6376"/>
    <w:rsid w:val="000E6F0D"/>
    <w:rsid w:val="000F1DC2"/>
    <w:rsid w:val="000F343E"/>
    <w:rsid w:val="000F3FC5"/>
    <w:rsid w:val="000F400C"/>
    <w:rsid w:val="000F6FF0"/>
    <w:rsid w:val="000F79DA"/>
    <w:rsid w:val="000F7E5B"/>
    <w:rsid w:val="00102BBC"/>
    <w:rsid w:val="00103D17"/>
    <w:rsid w:val="00103D7A"/>
    <w:rsid w:val="00105DDF"/>
    <w:rsid w:val="001078DC"/>
    <w:rsid w:val="0011038A"/>
    <w:rsid w:val="00110BA8"/>
    <w:rsid w:val="00112DC8"/>
    <w:rsid w:val="00116231"/>
    <w:rsid w:val="001174BA"/>
    <w:rsid w:val="001179A6"/>
    <w:rsid w:val="00117E18"/>
    <w:rsid w:val="001219AE"/>
    <w:rsid w:val="001220D3"/>
    <w:rsid w:val="00123180"/>
    <w:rsid w:val="00123651"/>
    <w:rsid w:val="00124F07"/>
    <w:rsid w:val="00125631"/>
    <w:rsid w:val="0012619D"/>
    <w:rsid w:val="001272E2"/>
    <w:rsid w:val="00130A4F"/>
    <w:rsid w:val="0013170A"/>
    <w:rsid w:val="001327F0"/>
    <w:rsid w:val="001327F6"/>
    <w:rsid w:val="0013583C"/>
    <w:rsid w:val="00135CE6"/>
    <w:rsid w:val="00136A21"/>
    <w:rsid w:val="00140866"/>
    <w:rsid w:val="00146CB6"/>
    <w:rsid w:val="00151080"/>
    <w:rsid w:val="00151450"/>
    <w:rsid w:val="001530AE"/>
    <w:rsid w:val="00154E9B"/>
    <w:rsid w:val="00156CFB"/>
    <w:rsid w:val="00160267"/>
    <w:rsid w:val="001606BA"/>
    <w:rsid w:val="001606DC"/>
    <w:rsid w:val="001608A5"/>
    <w:rsid w:val="00160B7E"/>
    <w:rsid w:val="00163439"/>
    <w:rsid w:val="00163C7B"/>
    <w:rsid w:val="00164E28"/>
    <w:rsid w:val="00164FB1"/>
    <w:rsid w:val="0016610D"/>
    <w:rsid w:val="00166D34"/>
    <w:rsid w:val="001671FD"/>
    <w:rsid w:val="001678C7"/>
    <w:rsid w:val="001739DD"/>
    <w:rsid w:val="0017468D"/>
    <w:rsid w:val="0017548A"/>
    <w:rsid w:val="00175DDD"/>
    <w:rsid w:val="00177E43"/>
    <w:rsid w:val="00180053"/>
    <w:rsid w:val="00180340"/>
    <w:rsid w:val="001810BF"/>
    <w:rsid w:val="00183199"/>
    <w:rsid w:val="00183ED2"/>
    <w:rsid w:val="00184734"/>
    <w:rsid w:val="00184AF7"/>
    <w:rsid w:val="00184B9A"/>
    <w:rsid w:val="00186AB3"/>
    <w:rsid w:val="001870C2"/>
    <w:rsid w:val="0019445A"/>
    <w:rsid w:val="00195C7A"/>
    <w:rsid w:val="00196767"/>
    <w:rsid w:val="00196DD2"/>
    <w:rsid w:val="00197179"/>
    <w:rsid w:val="00197438"/>
    <w:rsid w:val="001A10AB"/>
    <w:rsid w:val="001A1DA8"/>
    <w:rsid w:val="001A329E"/>
    <w:rsid w:val="001A3F1D"/>
    <w:rsid w:val="001A4F53"/>
    <w:rsid w:val="001A6FE3"/>
    <w:rsid w:val="001B1066"/>
    <w:rsid w:val="001B156E"/>
    <w:rsid w:val="001B2811"/>
    <w:rsid w:val="001B377B"/>
    <w:rsid w:val="001B4010"/>
    <w:rsid w:val="001B5E3B"/>
    <w:rsid w:val="001C4600"/>
    <w:rsid w:val="001C54DA"/>
    <w:rsid w:val="001C683E"/>
    <w:rsid w:val="001C6DCC"/>
    <w:rsid w:val="001C7ADD"/>
    <w:rsid w:val="001D100F"/>
    <w:rsid w:val="001D2ABB"/>
    <w:rsid w:val="001D3934"/>
    <w:rsid w:val="001E0622"/>
    <w:rsid w:val="001E22BD"/>
    <w:rsid w:val="001E24D1"/>
    <w:rsid w:val="001E61DB"/>
    <w:rsid w:val="001E684B"/>
    <w:rsid w:val="001E7AE8"/>
    <w:rsid w:val="001F1058"/>
    <w:rsid w:val="001F198A"/>
    <w:rsid w:val="001F23E8"/>
    <w:rsid w:val="001F64BA"/>
    <w:rsid w:val="001F7569"/>
    <w:rsid w:val="001F7946"/>
    <w:rsid w:val="001F7CAB"/>
    <w:rsid w:val="00202D8A"/>
    <w:rsid w:val="002040D8"/>
    <w:rsid w:val="002059FA"/>
    <w:rsid w:val="00207928"/>
    <w:rsid w:val="00211920"/>
    <w:rsid w:val="0021259D"/>
    <w:rsid w:val="0021278F"/>
    <w:rsid w:val="00213BF0"/>
    <w:rsid w:val="00213CAA"/>
    <w:rsid w:val="00213EF8"/>
    <w:rsid w:val="00214A3C"/>
    <w:rsid w:val="00215F79"/>
    <w:rsid w:val="0022180E"/>
    <w:rsid w:val="002225F8"/>
    <w:rsid w:val="002227B3"/>
    <w:rsid w:val="00223054"/>
    <w:rsid w:val="0022339B"/>
    <w:rsid w:val="002236E2"/>
    <w:rsid w:val="0022454C"/>
    <w:rsid w:val="00224ACC"/>
    <w:rsid w:val="002255D8"/>
    <w:rsid w:val="00227192"/>
    <w:rsid w:val="00232289"/>
    <w:rsid w:val="00234049"/>
    <w:rsid w:val="002341F3"/>
    <w:rsid w:val="002354EC"/>
    <w:rsid w:val="00236778"/>
    <w:rsid w:val="00236815"/>
    <w:rsid w:val="00237C33"/>
    <w:rsid w:val="0024179F"/>
    <w:rsid w:val="00241847"/>
    <w:rsid w:val="00241D8B"/>
    <w:rsid w:val="00241E98"/>
    <w:rsid w:val="0024281E"/>
    <w:rsid w:val="00243A03"/>
    <w:rsid w:val="002444A8"/>
    <w:rsid w:val="002452A3"/>
    <w:rsid w:val="002511F5"/>
    <w:rsid w:val="0025179C"/>
    <w:rsid w:val="00251B05"/>
    <w:rsid w:val="00251E38"/>
    <w:rsid w:val="002520A0"/>
    <w:rsid w:val="0025552D"/>
    <w:rsid w:val="00255999"/>
    <w:rsid w:val="00257F9E"/>
    <w:rsid w:val="002600D0"/>
    <w:rsid w:val="0026236F"/>
    <w:rsid w:val="00264212"/>
    <w:rsid w:val="00267920"/>
    <w:rsid w:val="002724C3"/>
    <w:rsid w:val="0027375D"/>
    <w:rsid w:val="00273C75"/>
    <w:rsid w:val="0027518C"/>
    <w:rsid w:val="00281200"/>
    <w:rsid w:val="00282CB5"/>
    <w:rsid w:val="002834A0"/>
    <w:rsid w:val="00285C2C"/>
    <w:rsid w:val="00286D8C"/>
    <w:rsid w:val="002878C7"/>
    <w:rsid w:val="002913CC"/>
    <w:rsid w:val="0029510A"/>
    <w:rsid w:val="002972EB"/>
    <w:rsid w:val="00297349"/>
    <w:rsid w:val="00297629"/>
    <w:rsid w:val="002A15D0"/>
    <w:rsid w:val="002A3F17"/>
    <w:rsid w:val="002A57AA"/>
    <w:rsid w:val="002A64E5"/>
    <w:rsid w:val="002B0148"/>
    <w:rsid w:val="002B0416"/>
    <w:rsid w:val="002B044E"/>
    <w:rsid w:val="002B0468"/>
    <w:rsid w:val="002B3249"/>
    <w:rsid w:val="002B3DCC"/>
    <w:rsid w:val="002C107E"/>
    <w:rsid w:val="002C3060"/>
    <w:rsid w:val="002C5A8B"/>
    <w:rsid w:val="002D2A9C"/>
    <w:rsid w:val="002D2FC1"/>
    <w:rsid w:val="002D4328"/>
    <w:rsid w:val="002E162E"/>
    <w:rsid w:val="002E2AA2"/>
    <w:rsid w:val="002E3726"/>
    <w:rsid w:val="002E7163"/>
    <w:rsid w:val="002E7A9D"/>
    <w:rsid w:val="002F1F2E"/>
    <w:rsid w:val="002F1FA9"/>
    <w:rsid w:val="002F4116"/>
    <w:rsid w:val="002F7953"/>
    <w:rsid w:val="002F7E81"/>
    <w:rsid w:val="00301DBB"/>
    <w:rsid w:val="00301F20"/>
    <w:rsid w:val="00305B24"/>
    <w:rsid w:val="00315D04"/>
    <w:rsid w:val="00316F6B"/>
    <w:rsid w:val="003175CD"/>
    <w:rsid w:val="00320232"/>
    <w:rsid w:val="00321056"/>
    <w:rsid w:val="003228EB"/>
    <w:rsid w:val="00323A68"/>
    <w:rsid w:val="003257ED"/>
    <w:rsid w:val="00326652"/>
    <w:rsid w:val="00326AA9"/>
    <w:rsid w:val="00330377"/>
    <w:rsid w:val="003331BB"/>
    <w:rsid w:val="003334B7"/>
    <w:rsid w:val="00334A86"/>
    <w:rsid w:val="00334E22"/>
    <w:rsid w:val="00337069"/>
    <w:rsid w:val="0033779E"/>
    <w:rsid w:val="00337ECB"/>
    <w:rsid w:val="003408BC"/>
    <w:rsid w:val="00342F00"/>
    <w:rsid w:val="00343CD7"/>
    <w:rsid w:val="003449FB"/>
    <w:rsid w:val="003454BC"/>
    <w:rsid w:val="00345630"/>
    <w:rsid w:val="00345750"/>
    <w:rsid w:val="00346B80"/>
    <w:rsid w:val="003473AC"/>
    <w:rsid w:val="00350138"/>
    <w:rsid w:val="0035038E"/>
    <w:rsid w:val="003506C9"/>
    <w:rsid w:val="0035261F"/>
    <w:rsid w:val="00355F11"/>
    <w:rsid w:val="00357203"/>
    <w:rsid w:val="003604D0"/>
    <w:rsid w:val="003617FD"/>
    <w:rsid w:val="0036264E"/>
    <w:rsid w:val="00362CB5"/>
    <w:rsid w:val="00365EBE"/>
    <w:rsid w:val="00366E91"/>
    <w:rsid w:val="003723F0"/>
    <w:rsid w:val="00373E2E"/>
    <w:rsid w:val="00374A97"/>
    <w:rsid w:val="00375CA6"/>
    <w:rsid w:val="003779F4"/>
    <w:rsid w:val="00382028"/>
    <w:rsid w:val="003827BF"/>
    <w:rsid w:val="0038489E"/>
    <w:rsid w:val="0038736A"/>
    <w:rsid w:val="003908CD"/>
    <w:rsid w:val="00393610"/>
    <w:rsid w:val="00393EF7"/>
    <w:rsid w:val="0039469F"/>
    <w:rsid w:val="0039610B"/>
    <w:rsid w:val="003973BC"/>
    <w:rsid w:val="003A096C"/>
    <w:rsid w:val="003A1377"/>
    <w:rsid w:val="003A15BD"/>
    <w:rsid w:val="003A19A6"/>
    <w:rsid w:val="003A28F3"/>
    <w:rsid w:val="003A3856"/>
    <w:rsid w:val="003A47D6"/>
    <w:rsid w:val="003A5DFF"/>
    <w:rsid w:val="003B0E90"/>
    <w:rsid w:val="003B1B38"/>
    <w:rsid w:val="003B2D78"/>
    <w:rsid w:val="003B4043"/>
    <w:rsid w:val="003B46E2"/>
    <w:rsid w:val="003B70FB"/>
    <w:rsid w:val="003B7E1B"/>
    <w:rsid w:val="003C1F3D"/>
    <w:rsid w:val="003C43F9"/>
    <w:rsid w:val="003C4D41"/>
    <w:rsid w:val="003C65E7"/>
    <w:rsid w:val="003D0292"/>
    <w:rsid w:val="003D02A9"/>
    <w:rsid w:val="003D25FB"/>
    <w:rsid w:val="003D38A4"/>
    <w:rsid w:val="003D3AEC"/>
    <w:rsid w:val="003D6B69"/>
    <w:rsid w:val="003D7B6A"/>
    <w:rsid w:val="003E0C7A"/>
    <w:rsid w:val="003E1BD8"/>
    <w:rsid w:val="003E4016"/>
    <w:rsid w:val="003E4791"/>
    <w:rsid w:val="003E54F3"/>
    <w:rsid w:val="003F0174"/>
    <w:rsid w:val="003F05B5"/>
    <w:rsid w:val="003F3574"/>
    <w:rsid w:val="003F4CFA"/>
    <w:rsid w:val="003F4E6F"/>
    <w:rsid w:val="003F54EA"/>
    <w:rsid w:val="003F707F"/>
    <w:rsid w:val="003F73C1"/>
    <w:rsid w:val="00400BB3"/>
    <w:rsid w:val="004012B6"/>
    <w:rsid w:val="00403D23"/>
    <w:rsid w:val="00404002"/>
    <w:rsid w:val="004048CD"/>
    <w:rsid w:val="00405613"/>
    <w:rsid w:val="0040582A"/>
    <w:rsid w:val="00413E0C"/>
    <w:rsid w:val="004149C9"/>
    <w:rsid w:val="00416DE3"/>
    <w:rsid w:val="0041777C"/>
    <w:rsid w:val="0042032C"/>
    <w:rsid w:val="00421140"/>
    <w:rsid w:val="00422F3F"/>
    <w:rsid w:val="00423C7C"/>
    <w:rsid w:val="00424191"/>
    <w:rsid w:val="00425A5E"/>
    <w:rsid w:val="00427EB0"/>
    <w:rsid w:val="004312CE"/>
    <w:rsid w:val="00432926"/>
    <w:rsid w:val="0043374F"/>
    <w:rsid w:val="00433E99"/>
    <w:rsid w:val="0043438B"/>
    <w:rsid w:val="0043453A"/>
    <w:rsid w:val="004352A6"/>
    <w:rsid w:val="00440299"/>
    <w:rsid w:val="00442929"/>
    <w:rsid w:val="00442D12"/>
    <w:rsid w:val="00443254"/>
    <w:rsid w:val="00443725"/>
    <w:rsid w:val="00443E40"/>
    <w:rsid w:val="00444FED"/>
    <w:rsid w:val="00446B4D"/>
    <w:rsid w:val="00446BE6"/>
    <w:rsid w:val="00447B82"/>
    <w:rsid w:val="00447FA5"/>
    <w:rsid w:val="004519A5"/>
    <w:rsid w:val="00451CCA"/>
    <w:rsid w:val="00452669"/>
    <w:rsid w:val="00453C29"/>
    <w:rsid w:val="004565F9"/>
    <w:rsid w:val="004572DD"/>
    <w:rsid w:val="0045745D"/>
    <w:rsid w:val="0046118A"/>
    <w:rsid w:val="004618A4"/>
    <w:rsid w:val="00461D99"/>
    <w:rsid w:val="0046229B"/>
    <w:rsid w:val="00462C94"/>
    <w:rsid w:val="00464879"/>
    <w:rsid w:val="00465495"/>
    <w:rsid w:val="0046626B"/>
    <w:rsid w:val="004704EA"/>
    <w:rsid w:val="00472848"/>
    <w:rsid w:val="00472A5D"/>
    <w:rsid w:val="0047417F"/>
    <w:rsid w:val="00474FD6"/>
    <w:rsid w:val="0047603D"/>
    <w:rsid w:val="004817F1"/>
    <w:rsid w:val="004819C5"/>
    <w:rsid w:val="004826BC"/>
    <w:rsid w:val="00483DB0"/>
    <w:rsid w:val="00483F21"/>
    <w:rsid w:val="0048404A"/>
    <w:rsid w:val="004843BB"/>
    <w:rsid w:val="00484DD9"/>
    <w:rsid w:val="004857CF"/>
    <w:rsid w:val="00486162"/>
    <w:rsid w:val="00490F44"/>
    <w:rsid w:val="0049195F"/>
    <w:rsid w:val="004920BC"/>
    <w:rsid w:val="004929B4"/>
    <w:rsid w:val="00492AF2"/>
    <w:rsid w:val="00494250"/>
    <w:rsid w:val="00494484"/>
    <w:rsid w:val="00495E8F"/>
    <w:rsid w:val="00497DF1"/>
    <w:rsid w:val="004A0523"/>
    <w:rsid w:val="004A09C5"/>
    <w:rsid w:val="004A124F"/>
    <w:rsid w:val="004A2088"/>
    <w:rsid w:val="004A5283"/>
    <w:rsid w:val="004A7777"/>
    <w:rsid w:val="004B167A"/>
    <w:rsid w:val="004B1E62"/>
    <w:rsid w:val="004B235F"/>
    <w:rsid w:val="004B2E6B"/>
    <w:rsid w:val="004B37EF"/>
    <w:rsid w:val="004B39C4"/>
    <w:rsid w:val="004B46B1"/>
    <w:rsid w:val="004B593A"/>
    <w:rsid w:val="004C0844"/>
    <w:rsid w:val="004C1EBE"/>
    <w:rsid w:val="004C3480"/>
    <w:rsid w:val="004C4284"/>
    <w:rsid w:val="004C497E"/>
    <w:rsid w:val="004C616B"/>
    <w:rsid w:val="004C6849"/>
    <w:rsid w:val="004C734B"/>
    <w:rsid w:val="004C79F1"/>
    <w:rsid w:val="004D1336"/>
    <w:rsid w:val="004D256D"/>
    <w:rsid w:val="004D33C2"/>
    <w:rsid w:val="004D3A97"/>
    <w:rsid w:val="004D3B37"/>
    <w:rsid w:val="004D4325"/>
    <w:rsid w:val="004D46DB"/>
    <w:rsid w:val="004D756B"/>
    <w:rsid w:val="004D7BD4"/>
    <w:rsid w:val="004E0AF5"/>
    <w:rsid w:val="004E0E38"/>
    <w:rsid w:val="004E0E5E"/>
    <w:rsid w:val="004E2740"/>
    <w:rsid w:val="004E2F9C"/>
    <w:rsid w:val="004E3C14"/>
    <w:rsid w:val="004F1B57"/>
    <w:rsid w:val="004F222A"/>
    <w:rsid w:val="004F26F0"/>
    <w:rsid w:val="004F31FA"/>
    <w:rsid w:val="004F3F52"/>
    <w:rsid w:val="004F4A87"/>
    <w:rsid w:val="004F6312"/>
    <w:rsid w:val="004F76AF"/>
    <w:rsid w:val="005009C0"/>
    <w:rsid w:val="00500A97"/>
    <w:rsid w:val="00504578"/>
    <w:rsid w:val="00505E3C"/>
    <w:rsid w:val="00506372"/>
    <w:rsid w:val="00506982"/>
    <w:rsid w:val="00507A10"/>
    <w:rsid w:val="00511B2D"/>
    <w:rsid w:val="00511BDC"/>
    <w:rsid w:val="00514ED0"/>
    <w:rsid w:val="0051550E"/>
    <w:rsid w:val="00515664"/>
    <w:rsid w:val="00515A76"/>
    <w:rsid w:val="00516DCF"/>
    <w:rsid w:val="005177A5"/>
    <w:rsid w:val="00517F4D"/>
    <w:rsid w:val="0052262A"/>
    <w:rsid w:val="00522A94"/>
    <w:rsid w:val="00524505"/>
    <w:rsid w:val="005274EC"/>
    <w:rsid w:val="00527548"/>
    <w:rsid w:val="005319D9"/>
    <w:rsid w:val="00531BB3"/>
    <w:rsid w:val="00532023"/>
    <w:rsid w:val="00532458"/>
    <w:rsid w:val="0053261E"/>
    <w:rsid w:val="00534E6A"/>
    <w:rsid w:val="00535799"/>
    <w:rsid w:val="00540255"/>
    <w:rsid w:val="005402CA"/>
    <w:rsid w:val="00540B62"/>
    <w:rsid w:val="0054121E"/>
    <w:rsid w:val="00542E00"/>
    <w:rsid w:val="0054334D"/>
    <w:rsid w:val="005455A9"/>
    <w:rsid w:val="00545A33"/>
    <w:rsid w:val="00546D27"/>
    <w:rsid w:val="005515DA"/>
    <w:rsid w:val="00552615"/>
    <w:rsid w:val="005535C0"/>
    <w:rsid w:val="0055415C"/>
    <w:rsid w:val="00557042"/>
    <w:rsid w:val="00557EBF"/>
    <w:rsid w:val="005602A7"/>
    <w:rsid w:val="0056106F"/>
    <w:rsid w:val="00561F6F"/>
    <w:rsid w:val="00564279"/>
    <w:rsid w:val="005643C4"/>
    <w:rsid w:val="00565041"/>
    <w:rsid w:val="005658E3"/>
    <w:rsid w:val="005661E1"/>
    <w:rsid w:val="00567907"/>
    <w:rsid w:val="00567986"/>
    <w:rsid w:val="00570499"/>
    <w:rsid w:val="0057115D"/>
    <w:rsid w:val="005714E5"/>
    <w:rsid w:val="0057229D"/>
    <w:rsid w:val="00572423"/>
    <w:rsid w:val="0057278E"/>
    <w:rsid w:val="00572CF8"/>
    <w:rsid w:val="0057490F"/>
    <w:rsid w:val="005764D4"/>
    <w:rsid w:val="00577815"/>
    <w:rsid w:val="005779B0"/>
    <w:rsid w:val="005828E7"/>
    <w:rsid w:val="0058382A"/>
    <w:rsid w:val="00583E1D"/>
    <w:rsid w:val="00585061"/>
    <w:rsid w:val="00587B2F"/>
    <w:rsid w:val="00587EF9"/>
    <w:rsid w:val="00590924"/>
    <w:rsid w:val="00591E3B"/>
    <w:rsid w:val="0059293D"/>
    <w:rsid w:val="00593AD5"/>
    <w:rsid w:val="00595135"/>
    <w:rsid w:val="00595429"/>
    <w:rsid w:val="005971D9"/>
    <w:rsid w:val="00597228"/>
    <w:rsid w:val="005A264C"/>
    <w:rsid w:val="005A2C64"/>
    <w:rsid w:val="005A4CC8"/>
    <w:rsid w:val="005B0B68"/>
    <w:rsid w:val="005B0F85"/>
    <w:rsid w:val="005B34FF"/>
    <w:rsid w:val="005B3736"/>
    <w:rsid w:val="005B38B6"/>
    <w:rsid w:val="005B3EA7"/>
    <w:rsid w:val="005B4EDA"/>
    <w:rsid w:val="005C06B1"/>
    <w:rsid w:val="005C315B"/>
    <w:rsid w:val="005C3405"/>
    <w:rsid w:val="005C358B"/>
    <w:rsid w:val="005C3C9F"/>
    <w:rsid w:val="005C5B19"/>
    <w:rsid w:val="005C5D3E"/>
    <w:rsid w:val="005C6E2C"/>
    <w:rsid w:val="005C6F69"/>
    <w:rsid w:val="005C79A3"/>
    <w:rsid w:val="005D02E4"/>
    <w:rsid w:val="005D29FB"/>
    <w:rsid w:val="005D4170"/>
    <w:rsid w:val="005D632B"/>
    <w:rsid w:val="005D7A57"/>
    <w:rsid w:val="005E4357"/>
    <w:rsid w:val="005E77D5"/>
    <w:rsid w:val="005F085D"/>
    <w:rsid w:val="005F2D39"/>
    <w:rsid w:val="00600FCD"/>
    <w:rsid w:val="00602E80"/>
    <w:rsid w:val="0060419A"/>
    <w:rsid w:val="006056BD"/>
    <w:rsid w:val="00607876"/>
    <w:rsid w:val="00620229"/>
    <w:rsid w:val="0062449E"/>
    <w:rsid w:val="00624FC1"/>
    <w:rsid w:val="0062585B"/>
    <w:rsid w:val="006263E1"/>
    <w:rsid w:val="00626B02"/>
    <w:rsid w:val="00630EFF"/>
    <w:rsid w:val="00631656"/>
    <w:rsid w:val="00631C4D"/>
    <w:rsid w:val="00632C58"/>
    <w:rsid w:val="0063444C"/>
    <w:rsid w:val="00635556"/>
    <w:rsid w:val="006366FF"/>
    <w:rsid w:val="0063773D"/>
    <w:rsid w:val="0064099C"/>
    <w:rsid w:val="00641206"/>
    <w:rsid w:val="00642610"/>
    <w:rsid w:val="00642C45"/>
    <w:rsid w:val="0064337C"/>
    <w:rsid w:val="006434FF"/>
    <w:rsid w:val="00643CD1"/>
    <w:rsid w:val="00645065"/>
    <w:rsid w:val="00645E85"/>
    <w:rsid w:val="006461E8"/>
    <w:rsid w:val="00646751"/>
    <w:rsid w:val="00646A4A"/>
    <w:rsid w:val="00647625"/>
    <w:rsid w:val="00650D90"/>
    <w:rsid w:val="00651CF5"/>
    <w:rsid w:val="00653E08"/>
    <w:rsid w:val="006547CD"/>
    <w:rsid w:val="006601E3"/>
    <w:rsid w:val="0066133D"/>
    <w:rsid w:val="0066185D"/>
    <w:rsid w:val="00662705"/>
    <w:rsid w:val="00662D4B"/>
    <w:rsid w:val="00662EC8"/>
    <w:rsid w:val="00663F1D"/>
    <w:rsid w:val="006666BC"/>
    <w:rsid w:val="0066675D"/>
    <w:rsid w:val="00671597"/>
    <w:rsid w:val="00672692"/>
    <w:rsid w:val="0067463A"/>
    <w:rsid w:val="00674FFA"/>
    <w:rsid w:val="0067654B"/>
    <w:rsid w:val="00680B7E"/>
    <w:rsid w:val="00680C43"/>
    <w:rsid w:val="00684BF4"/>
    <w:rsid w:val="00685DCA"/>
    <w:rsid w:val="00686BAB"/>
    <w:rsid w:val="00686BE9"/>
    <w:rsid w:val="00687B66"/>
    <w:rsid w:val="006901CF"/>
    <w:rsid w:val="0069033B"/>
    <w:rsid w:val="0069046B"/>
    <w:rsid w:val="0069090A"/>
    <w:rsid w:val="00691195"/>
    <w:rsid w:val="006923F2"/>
    <w:rsid w:val="00692BF2"/>
    <w:rsid w:val="00697D32"/>
    <w:rsid w:val="006A1252"/>
    <w:rsid w:val="006A2566"/>
    <w:rsid w:val="006A2981"/>
    <w:rsid w:val="006A3AB7"/>
    <w:rsid w:val="006A5409"/>
    <w:rsid w:val="006A6496"/>
    <w:rsid w:val="006A7B41"/>
    <w:rsid w:val="006A7E00"/>
    <w:rsid w:val="006A7FFD"/>
    <w:rsid w:val="006B0223"/>
    <w:rsid w:val="006B10D8"/>
    <w:rsid w:val="006B1A97"/>
    <w:rsid w:val="006B22A7"/>
    <w:rsid w:val="006B2558"/>
    <w:rsid w:val="006B2D89"/>
    <w:rsid w:val="006B3DC9"/>
    <w:rsid w:val="006B5245"/>
    <w:rsid w:val="006B5AFA"/>
    <w:rsid w:val="006B62B4"/>
    <w:rsid w:val="006B64B0"/>
    <w:rsid w:val="006B7134"/>
    <w:rsid w:val="006C2AF3"/>
    <w:rsid w:val="006C2C89"/>
    <w:rsid w:val="006C30E4"/>
    <w:rsid w:val="006C31FA"/>
    <w:rsid w:val="006C3F91"/>
    <w:rsid w:val="006C4676"/>
    <w:rsid w:val="006C62F9"/>
    <w:rsid w:val="006C660B"/>
    <w:rsid w:val="006D0BB5"/>
    <w:rsid w:val="006D1045"/>
    <w:rsid w:val="006D11B6"/>
    <w:rsid w:val="006D2915"/>
    <w:rsid w:val="006D39A8"/>
    <w:rsid w:val="006D3E54"/>
    <w:rsid w:val="006D54D7"/>
    <w:rsid w:val="006D6163"/>
    <w:rsid w:val="006D6DF6"/>
    <w:rsid w:val="006D7C08"/>
    <w:rsid w:val="006E0340"/>
    <w:rsid w:val="006E03C7"/>
    <w:rsid w:val="006E053F"/>
    <w:rsid w:val="006E0D86"/>
    <w:rsid w:val="006E32DF"/>
    <w:rsid w:val="006E34DE"/>
    <w:rsid w:val="006E3E58"/>
    <w:rsid w:val="006E3E86"/>
    <w:rsid w:val="006E444A"/>
    <w:rsid w:val="006E5086"/>
    <w:rsid w:val="006F0AC8"/>
    <w:rsid w:val="006F7457"/>
    <w:rsid w:val="006F7F5D"/>
    <w:rsid w:val="00701A36"/>
    <w:rsid w:val="00702EC0"/>
    <w:rsid w:val="00703658"/>
    <w:rsid w:val="00707DDD"/>
    <w:rsid w:val="00710C5C"/>
    <w:rsid w:val="00711ABE"/>
    <w:rsid w:val="007121CF"/>
    <w:rsid w:val="0071330F"/>
    <w:rsid w:val="00713A8A"/>
    <w:rsid w:val="0071752F"/>
    <w:rsid w:val="00721AD3"/>
    <w:rsid w:val="00722404"/>
    <w:rsid w:val="00723C80"/>
    <w:rsid w:val="00724599"/>
    <w:rsid w:val="0072481B"/>
    <w:rsid w:val="00724964"/>
    <w:rsid w:val="00731548"/>
    <w:rsid w:val="007333C3"/>
    <w:rsid w:val="00733837"/>
    <w:rsid w:val="007345C8"/>
    <w:rsid w:val="00734D08"/>
    <w:rsid w:val="00735ADC"/>
    <w:rsid w:val="0073761E"/>
    <w:rsid w:val="00740E65"/>
    <w:rsid w:val="007422DC"/>
    <w:rsid w:val="00742744"/>
    <w:rsid w:val="00743096"/>
    <w:rsid w:val="007433E7"/>
    <w:rsid w:val="0074425F"/>
    <w:rsid w:val="00744C28"/>
    <w:rsid w:val="00745257"/>
    <w:rsid w:val="007511B1"/>
    <w:rsid w:val="00751705"/>
    <w:rsid w:val="0075211D"/>
    <w:rsid w:val="00752911"/>
    <w:rsid w:val="00755B1B"/>
    <w:rsid w:val="00756214"/>
    <w:rsid w:val="00756614"/>
    <w:rsid w:val="007573E1"/>
    <w:rsid w:val="007607B2"/>
    <w:rsid w:val="0076094E"/>
    <w:rsid w:val="00765C92"/>
    <w:rsid w:val="00766BF6"/>
    <w:rsid w:val="00767BC9"/>
    <w:rsid w:val="00772AAB"/>
    <w:rsid w:val="007746CE"/>
    <w:rsid w:val="00774BEE"/>
    <w:rsid w:val="00775D34"/>
    <w:rsid w:val="0077651E"/>
    <w:rsid w:val="0077736D"/>
    <w:rsid w:val="007803D7"/>
    <w:rsid w:val="007828DE"/>
    <w:rsid w:val="00785F54"/>
    <w:rsid w:val="007867E4"/>
    <w:rsid w:val="00787A9C"/>
    <w:rsid w:val="007902AD"/>
    <w:rsid w:val="007914A9"/>
    <w:rsid w:val="00792040"/>
    <w:rsid w:val="007964FD"/>
    <w:rsid w:val="007A4275"/>
    <w:rsid w:val="007A670A"/>
    <w:rsid w:val="007B04C6"/>
    <w:rsid w:val="007B04E9"/>
    <w:rsid w:val="007B08D5"/>
    <w:rsid w:val="007B0C57"/>
    <w:rsid w:val="007B2E87"/>
    <w:rsid w:val="007B49D2"/>
    <w:rsid w:val="007B5830"/>
    <w:rsid w:val="007B5D4D"/>
    <w:rsid w:val="007B60FE"/>
    <w:rsid w:val="007B6256"/>
    <w:rsid w:val="007B7081"/>
    <w:rsid w:val="007C157E"/>
    <w:rsid w:val="007C2B0A"/>
    <w:rsid w:val="007C4F6F"/>
    <w:rsid w:val="007C5B49"/>
    <w:rsid w:val="007C5FD0"/>
    <w:rsid w:val="007C6778"/>
    <w:rsid w:val="007D1563"/>
    <w:rsid w:val="007D28DF"/>
    <w:rsid w:val="007D4016"/>
    <w:rsid w:val="007D4354"/>
    <w:rsid w:val="007D571A"/>
    <w:rsid w:val="007D679F"/>
    <w:rsid w:val="007D79DA"/>
    <w:rsid w:val="007E14A8"/>
    <w:rsid w:val="007E22D1"/>
    <w:rsid w:val="007E2E7B"/>
    <w:rsid w:val="007E38FC"/>
    <w:rsid w:val="007E3B5E"/>
    <w:rsid w:val="007E3EB3"/>
    <w:rsid w:val="007E647D"/>
    <w:rsid w:val="007F24A2"/>
    <w:rsid w:val="007F28FE"/>
    <w:rsid w:val="007F4398"/>
    <w:rsid w:val="007F5464"/>
    <w:rsid w:val="007F755E"/>
    <w:rsid w:val="00800404"/>
    <w:rsid w:val="00800B5A"/>
    <w:rsid w:val="00801E97"/>
    <w:rsid w:val="00802F7B"/>
    <w:rsid w:val="00803ADF"/>
    <w:rsid w:val="00804DC9"/>
    <w:rsid w:val="00805859"/>
    <w:rsid w:val="00806ABD"/>
    <w:rsid w:val="00810013"/>
    <w:rsid w:val="00811749"/>
    <w:rsid w:val="0081249B"/>
    <w:rsid w:val="0081536D"/>
    <w:rsid w:val="00816D2F"/>
    <w:rsid w:val="00820C52"/>
    <w:rsid w:val="00820C73"/>
    <w:rsid w:val="00820C8C"/>
    <w:rsid w:val="0082621F"/>
    <w:rsid w:val="008335F5"/>
    <w:rsid w:val="00835E59"/>
    <w:rsid w:val="00837313"/>
    <w:rsid w:val="008373B8"/>
    <w:rsid w:val="00837B66"/>
    <w:rsid w:val="00837F14"/>
    <w:rsid w:val="00841AF8"/>
    <w:rsid w:val="008433B6"/>
    <w:rsid w:val="00843BB4"/>
    <w:rsid w:val="008471E8"/>
    <w:rsid w:val="0085086C"/>
    <w:rsid w:val="00851053"/>
    <w:rsid w:val="00851355"/>
    <w:rsid w:val="00854E84"/>
    <w:rsid w:val="00857C24"/>
    <w:rsid w:val="0086049C"/>
    <w:rsid w:val="00860CAE"/>
    <w:rsid w:val="00860DA5"/>
    <w:rsid w:val="0086139C"/>
    <w:rsid w:val="008614C2"/>
    <w:rsid w:val="00861D62"/>
    <w:rsid w:val="008648F0"/>
    <w:rsid w:val="00865050"/>
    <w:rsid w:val="00865F96"/>
    <w:rsid w:val="008666E0"/>
    <w:rsid w:val="0086769B"/>
    <w:rsid w:val="00872070"/>
    <w:rsid w:val="0087213C"/>
    <w:rsid w:val="008749DD"/>
    <w:rsid w:val="00874A73"/>
    <w:rsid w:val="00877B92"/>
    <w:rsid w:val="00880D8F"/>
    <w:rsid w:val="008833E2"/>
    <w:rsid w:val="008845AB"/>
    <w:rsid w:val="008845E1"/>
    <w:rsid w:val="00885CDE"/>
    <w:rsid w:val="00885FC9"/>
    <w:rsid w:val="0088641B"/>
    <w:rsid w:val="008870B8"/>
    <w:rsid w:val="00887695"/>
    <w:rsid w:val="008903FE"/>
    <w:rsid w:val="00891B35"/>
    <w:rsid w:val="00892246"/>
    <w:rsid w:val="00894663"/>
    <w:rsid w:val="00894911"/>
    <w:rsid w:val="00895783"/>
    <w:rsid w:val="00896B44"/>
    <w:rsid w:val="008A2AAA"/>
    <w:rsid w:val="008A5795"/>
    <w:rsid w:val="008A7D33"/>
    <w:rsid w:val="008B02BF"/>
    <w:rsid w:val="008B1B8A"/>
    <w:rsid w:val="008B3017"/>
    <w:rsid w:val="008B3AF4"/>
    <w:rsid w:val="008B5646"/>
    <w:rsid w:val="008B56EF"/>
    <w:rsid w:val="008C0BD0"/>
    <w:rsid w:val="008C2CEA"/>
    <w:rsid w:val="008C35AA"/>
    <w:rsid w:val="008C3617"/>
    <w:rsid w:val="008C3DC1"/>
    <w:rsid w:val="008C46E9"/>
    <w:rsid w:val="008C5231"/>
    <w:rsid w:val="008C72E5"/>
    <w:rsid w:val="008C7833"/>
    <w:rsid w:val="008D0F76"/>
    <w:rsid w:val="008D4EED"/>
    <w:rsid w:val="008D709A"/>
    <w:rsid w:val="008E2810"/>
    <w:rsid w:val="008E2898"/>
    <w:rsid w:val="008E2E46"/>
    <w:rsid w:val="008E6F1E"/>
    <w:rsid w:val="008E7420"/>
    <w:rsid w:val="008F0BB2"/>
    <w:rsid w:val="008F435A"/>
    <w:rsid w:val="008F5052"/>
    <w:rsid w:val="008F51B4"/>
    <w:rsid w:val="008F68EC"/>
    <w:rsid w:val="008F703F"/>
    <w:rsid w:val="009038BF"/>
    <w:rsid w:val="00903941"/>
    <w:rsid w:val="0090458B"/>
    <w:rsid w:val="00904736"/>
    <w:rsid w:val="00904802"/>
    <w:rsid w:val="00906C41"/>
    <w:rsid w:val="00906C88"/>
    <w:rsid w:val="0091160B"/>
    <w:rsid w:val="009117FE"/>
    <w:rsid w:val="00914C1B"/>
    <w:rsid w:val="00914C78"/>
    <w:rsid w:val="00916376"/>
    <w:rsid w:val="009214D4"/>
    <w:rsid w:val="00926897"/>
    <w:rsid w:val="0092730C"/>
    <w:rsid w:val="009274BB"/>
    <w:rsid w:val="00930C8D"/>
    <w:rsid w:val="00931470"/>
    <w:rsid w:val="00934748"/>
    <w:rsid w:val="009372B6"/>
    <w:rsid w:val="00940693"/>
    <w:rsid w:val="00942671"/>
    <w:rsid w:val="00944A1B"/>
    <w:rsid w:val="00950036"/>
    <w:rsid w:val="00950B7D"/>
    <w:rsid w:val="0095272E"/>
    <w:rsid w:val="00952C4E"/>
    <w:rsid w:val="00952DFC"/>
    <w:rsid w:val="00954D65"/>
    <w:rsid w:val="0095509E"/>
    <w:rsid w:val="00955703"/>
    <w:rsid w:val="00955C7A"/>
    <w:rsid w:val="0095718F"/>
    <w:rsid w:val="00957474"/>
    <w:rsid w:val="009576BE"/>
    <w:rsid w:val="0096019A"/>
    <w:rsid w:val="00961021"/>
    <w:rsid w:val="0096319A"/>
    <w:rsid w:val="00964C4C"/>
    <w:rsid w:val="00965134"/>
    <w:rsid w:val="00966184"/>
    <w:rsid w:val="009669D1"/>
    <w:rsid w:val="00966CA7"/>
    <w:rsid w:val="00967654"/>
    <w:rsid w:val="009678DB"/>
    <w:rsid w:val="009711EB"/>
    <w:rsid w:val="009734AE"/>
    <w:rsid w:val="00973A01"/>
    <w:rsid w:val="00973CF2"/>
    <w:rsid w:val="00977A41"/>
    <w:rsid w:val="00980C14"/>
    <w:rsid w:val="009819B0"/>
    <w:rsid w:val="00981F05"/>
    <w:rsid w:val="009830E5"/>
    <w:rsid w:val="00983581"/>
    <w:rsid w:val="00983B92"/>
    <w:rsid w:val="009846E4"/>
    <w:rsid w:val="009862EF"/>
    <w:rsid w:val="00986EDA"/>
    <w:rsid w:val="0098710A"/>
    <w:rsid w:val="009876D0"/>
    <w:rsid w:val="00987CDD"/>
    <w:rsid w:val="009910BC"/>
    <w:rsid w:val="009941EE"/>
    <w:rsid w:val="00994EA5"/>
    <w:rsid w:val="009955E7"/>
    <w:rsid w:val="0099668E"/>
    <w:rsid w:val="009A0FEA"/>
    <w:rsid w:val="009A52CA"/>
    <w:rsid w:val="009A5415"/>
    <w:rsid w:val="009A5DCA"/>
    <w:rsid w:val="009A7F02"/>
    <w:rsid w:val="009B0DF8"/>
    <w:rsid w:val="009B3C75"/>
    <w:rsid w:val="009B4705"/>
    <w:rsid w:val="009B5ECB"/>
    <w:rsid w:val="009B6197"/>
    <w:rsid w:val="009B694F"/>
    <w:rsid w:val="009B6B06"/>
    <w:rsid w:val="009C17E4"/>
    <w:rsid w:val="009C3A86"/>
    <w:rsid w:val="009C4F10"/>
    <w:rsid w:val="009C7066"/>
    <w:rsid w:val="009D045D"/>
    <w:rsid w:val="009D1C07"/>
    <w:rsid w:val="009D30FA"/>
    <w:rsid w:val="009D3CBA"/>
    <w:rsid w:val="009D42BA"/>
    <w:rsid w:val="009D79D7"/>
    <w:rsid w:val="009E025B"/>
    <w:rsid w:val="009E030D"/>
    <w:rsid w:val="009E092A"/>
    <w:rsid w:val="009E0A38"/>
    <w:rsid w:val="009E4B22"/>
    <w:rsid w:val="009E56EC"/>
    <w:rsid w:val="009E6167"/>
    <w:rsid w:val="009E65D9"/>
    <w:rsid w:val="009F06BA"/>
    <w:rsid w:val="009F1605"/>
    <w:rsid w:val="009F3C8C"/>
    <w:rsid w:val="009F487F"/>
    <w:rsid w:val="00A00266"/>
    <w:rsid w:val="00A00EE4"/>
    <w:rsid w:val="00A0147A"/>
    <w:rsid w:val="00A01AD6"/>
    <w:rsid w:val="00A0339A"/>
    <w:rsid w:val="00A10302"/>
    <w:rsid w:val="00A10904"/>
    <w:rsid w:val="00A111E7"/>
    <w:rsid w:val="00A156AD"/>
    <w:rsid w:val="00A23F31"/>
    <w:rsid w:val="00A2446A"/>
    <w:rsid w:val="00A26434"/>
    <w:rsid w:val="00A26E71"/>
    <w:rsid w:val="00A27BCA"/>
    <w:rsid w:val="00A27C1E"/>
    <w:rsid w:val="00A34984"/>
    <w:rsid w:val="00A35993"/>
    <w:rsid w:val="00A35EA3"/>
    <w:rsid w:val="00A36FED"/>
    <w:rsid w:val="00A3717F"/>
    <w:rsid w:val="00A37CB9"/>
    <w:rsid w:val="00A40CFF"/>
    <w:rsid w:val="00A41DAD"/>
    <w:rsid w:val="00A41FE8"/>
    <w:rsid w:val="00A43C35"/>
    <w:rsid w:val="00A45750"/>
    <w:rsid w:val="00A45D2B"/>
    <w:rsid w:val="00A45E11"/>
    <w:rsid w:val="00A46EFE"/>
    <w:rsid w:val="00A47CA9"/>
    <w:rsid w:val="00A50596"/>
    <w:rsid w:val="00A52953"/>
    <w:rsid w:val="00A54033"/>
    <w:rsid w:val="00A54C41"/>
    <w:rsid w:val="00A55308"/>
    <w:rsid w:val="00A555D8"/>
    <w:rsid w:val="00A604E6"/>
    <w:rsid w:val="00A62270"/>
    <w:rsid w:val="00A635F1"/>
    <w:rsid w:val="00A63CBA"/>
    <w:rsid w:val="00A64AEA"/>
    <w:rsid w:val="00A6555F"/>
    <w:rsid w:val="00A67229"/>
    <w:rsid w:val="00A67D63"/>
    <w:rsid w:val="00A7082C"/>
    <w:rsid w:val="00A70982"/>
    <w:rsid w:val="00A7434A"/>
    <w:rsid w:val="00A756CD"/>
    <w:rsid w:val="00A75D78"/>
    <w:rsid w:val="00A76825"/>
    <w:rsid w:val="00A76A29"/>
    <w:rsid w:val="00A80A7D"/>
    <w:rsid w:val="00A82DCD"/>
    <w:rsid w:val="00A84E39"/>
    <w:rsid w:val="00A868B9"/>
    <w:rsid w:val="00A870F2"/>
    <w:rsid w:val="00A87AFC"/>
    <w:rsid w:val="00A909E7"/>
    <w:rsid w:val="00A919B1"/>
    <w:rsid w:val="00A92C36"/>
    <w:rsid w:val="00A94269"/>
    <w:rsid w:val="00A949A5"/>
    <w:rsid w:val="00A94F35"/>
    <w:rsid w:val="00A96D45"/>
    <w:rsid w:val="00A9740D"/>
    <w:rsid w:val="00AA0722"/>
    <w:rsid w:val="00AA07F5"/>
    <w:rsid w:val="00AA0E1B"/>
    <w:rsid w:val="00AA318B"/>
    <w:rsid w:val="00AA394F"/>
    <w:rsid w:val="00AA3BAE"/>
    <w:rsid w:val="00AA42FD"/>
    <w:rsid w:val="00AA4D96"/>
    <w:rsid w:val="00AA5B6F"/>
    <w:rsid w:val="00AA705C"/>
    <w:rsid w:val="00AA70F9"/>
    <w:rsid w:val="00AA78AD"/>
    <w:rsid w:val="00AB0B3C"/>
    <w:rsid w:val="00AB3766"/>
    <w:rsid w:val="00AB54BC"/>
    <w:rsid w:val="00AB5D89"/>
    <w:rsid w:val="00AB6913"/>
    <w:rsid w:val="00AB7AF9"/>
    <w:rsid w:val="00AB7DC3"/>
    <w:rsid w:val="00AC04A4"/>
    <w:rsid w:val="00AC0D4F"/>
    <w:rsid w:val="00AC2335"/>
    <w:rsid w:val="00AC2D3E"/>
    <w:rsid w:val="00AC41D9"/>
    <w:rsid w:val="00AC73BD"/>
    <w:rsid w:val="00AC76E6"/>
    <w:rsid w:val="00AD0BD8"/>
    <w:rsid w:val="00AD3908"/>
    <w:rsid w:val="00AD697D"/>
    <w:rsid w:val="00AD72DF"/>
    <w:rsid w:val="00AD7E83"/>
    <w:rsid w:val="00AE05E7"/>
    <w:rsid w:val="00AE19EE"/>
    <w:rsid w:val="00AE3CBA"/>
    <w:rsid w:val="00AE4984"/>
    <w:rsid w:val="00AE67A3"/>
    <w:rsid w:val="00AF0021"/>
    <w:rsid w:val="00AF035D"/>
    <w:rsid w:val="00AF08E8"/>
    <w:rsid w:val="00AF0A2B"/>
    <w:rsid w:val="00AF3A36"/>
    <w:rsid w:val="00AF4114"/>
    <w:rsid w:val="00AF5548"/>
    <w:rsid w:val="00AF7607"/>
    <w:rsid w:val="00B02E95"/>
    <w:rsid w:val="00B03364"/>
    <w:rsid w:val="00B03833"/>
    <w:rsid w:val="00B04131"/>
    <w:rsid w:val="00B0795A"/>
    <w:rsid w:val="00B11109"/>
    <w:rsid w:val="00B11479"/>
    <w:rsid w:val="00B1261B"/>
    <w:rsid w:val="00B12A46"/>
    <w:rsid w:val="00B14F51"/>
    <w:rsid w:val="00B1677D"/>
    <w:rsid w:val="00B17569"/>
    <w:rsid w:val="00B20611"/>
    <w:rsid w:val="00B22542"/>
    <w:rsid w:val="00B24F7F"/>
    <w:rsid w:val="00B26CB6"/>
    <w:rsid w:val="00B27FB4"/>
    <w:rsid w:val="00B30064"/>
    <w:rsid w:val="00B3327B"/>
    <w:rsid w:val="00B337BA"/>
    <w:rsid w:val="00B366A4"/>
    <w:rsid w:val="00B37B83"/>
    <w:rsid w:val="00B405AF"/>
    <w:rsid w:val="00B40CF1"/>
    <w:rsid w:val="00B42EA6"/>
    <w:rsid w:val="00B4475C"/>
    <w:rsid w:val="00B45941"/>
    <w:rsid w:val="00B46AA8"/>
    <w:rsid w:val="00B5021F"/>
    <w:rsid w:val="00B502DB"/>
    <w:rsid w:val="00B514CF"/>
    <w:rsid w:val="00B51F00"/>
    <w:rsid w:val="00B53187"/>
    <w:rsid w:val="00B53C40"/>
    <w:rsid w:val="00B5400D"/>
    <w:rsid w:val="00B54898"/>
    <w:rsid w:val="00B54E3E"/>
    <w:rsid w:val="00B565EC"/>
    <w:rsid w:val="00B56B9B"/>
    <w:rsid w:val="00B575D0"/>
    <w:rsid w:val="00B60F6B"/>
    <w:rsid w:val="00B61EF6"/>
    <w:rsid w:val="00B63AF3"/>
    <w:rsid w:val="00B6414A"/>
    <w:rsid w:val="00B669E5"/>
    <w:rsid w:val="00B67F71"/>
    <w:rsid w:val="00B703CF"/>
    <w:rsid w:val="00B74583"/>
    <w:rsid w:val="00B749DA"/>
    <w:rsid w:val="00B74FE6"/>
    <w:rsid w:val="00B77206"/>
    <w:rsid w:val="00B77356"/>
    <w:rsid w:val="00B805FB"/>
    <w:rsid w:val="00B80F10"/>
    <w:rsid w:val="00B814EC"/>
    <w:rsid w:val="00B838E6"/>
    <w:rsid w:val="00B83B51"/>
    <w:rsid w:val="00B84DBB"/>
    <w:rsid w:val="00B85C0E"/>
    <w:rsid w:val="00B86157"/>
    <w:rsid w:val="00B86B8D"/>
    <w:rsid w:val="00B91780"/>
    <w:rsid w:val="00B92F0E"/>
    <w:rsid w:val="00B945AD"/>
    <w:rsid w:val="00B94838"/>
    <w:rsid w:val="00B949E4"/>
    <w:rsid w:val="00B956AA"/>
    <w:rsid w:val="00B96F04"/>
    <w:rsid w:val="00BA0AAA"/>
    <w:rsid w:val="00BA23AE"/>
    <w:rsid w:val="00BA2699"/>
    <w:rsid w:val="00BA3888"/>
    <w:rsid w:val="00BA50A6"/>
    <w:rsid w:val="00BA54A4"/>
    <w:rsid w:val="00BA55D7"/>
    <w:rsid w:val="00BA69CF"/>
    <w:rsid w:val="00BB0A41"/>
    <w:rsid w:val="00BB21E8"/>
    <w:rsid w:val="00BB23CE"/>
    <w:rsid w:val="00BB29EC"/>
    <w:rsid w:val="00BB589C"/>
    <w:rsid w:val="00BB5BFD"/>
    <w:rsid w:val="00BB7EC9"/>
    <w:rsid w:val="00BC01CF"/>
    <w:rsid w:val="00BC11B3"/>
    <w:rsid w:val="00BC37BE"/>
    <w:rsid w:val="00BC5A0E"/>
    <w:rsid w:val="00BC738B"/>
    <w:rsid w:val="00BC769D"/>
    <w:rsid w:val="00BC7BB6"/>
    <w:rsid w:val="00BD06A2"/>
    <w:rsid w:val="00BD06E5"/>
    <w:rsid w:val="00BD0E64"/>
    <w:rsid w:val="00BD147D"/>
    <w:rsid w:val="00BD16AB"/>
    <w:rsid w:val="00BD3107"/>
    <w:rsid w:val="00BD38EA"/>
    <w:rsid w:val="00BD3E3C"/>
    <w:rsid w:val="00BD4CC5"/>
    <w:rsid w:val="00BE0742"/>
    <w:rsid w:val="00BE1882"/>
    <w:rsid w:val="00BE1B9F"/>
    <w:rsid w:val="00BE2871"/>
    <w:rsid w:val="00BE3477"/>
    <w:rsid w:val="00BE6602"/>
    <w:rsid w:val="00BE7FA4"/>
    <w:rsid w:val="00BF58AA"/>
    <w:rsid w:val="00BF5EB1"/>
    <w:rsid w:val="00BF61EB"/>
    <w:rsid w:val="00BF7816"/>
    <w:rsid w:val="00BF7B04"/>
    <w:rsid w:val="00C00650"/>
    <w:rsid w:val="00C014A8"/>
    <w:rsid w:val="00C0159B"/>
    <w:rsid w:val="00C01907"/>
    <w:rsid w:val="00C03FB6"/>
    <w:rsid w:val="00C0460F"/>
    <w:rsid w:val="00C0479C"/>
    <w:rsid w:val="00C05967"/>
    <w:rsid w:val="00C06510"/>
    <w:rsid w:val="00C066BA"/>
    <w:rsid w:val="00C11F25"/>
    <w:rsid w:val="00C163BD"/>
    <w:rsid w:val="00C17704"/>
    <w:rsid w:val="00C20320"/>
    <w:rsid w:val="00C216C6"/>
    <w:rsid w:val="00C22042"/>
    <w:rsid w:val="00C22665"/>
    <w:rsid w:val="00C24855"/>
    <w:rsid w:val="00C3079F"/>
    <w:rsid w:val="00C309E4"/>
    <w:rsid w:val="00C31A72"/>
    <w:rsid w:val="00C32C56"/>
    <w:rsid w:val="00C32D4F"/>
    <w:rsid w:val="00C32FCF"/>
    <w:rsid w:val="00C35F49"/>
    <w:rsid w:val="00C4169B"/>
    <w:rsid w:val="00C432E9"/>
    <w:rsid w:val="00C45690"/>
    <w:rsid w:val="00C456DA"/>
    <w:rsid w:val="00C46622"/>
    <w:rsid w:val="00C46981"/>
    <w:rsid w:val="00C46BD6"/>
    <w:rsid w:val="00C471B8"/>
    <w:rsid w:val="00C50B8F"/>
    <w:rsid w:val="00C51594"/>
    <w:rsid w:val="00C55263"/>
    <w:rsid w:val="00C56668"/>
    <w:rsid w:val="00C56E2D"/>
    <w:rsid w:val="00C573BD"/>
    <w:rsid w:val="00C611FF"/>
    <w:rsid w:val="00C63E0C"/>
    <w:rsid w:val="00C65B9B"/>
    <w:rsid w:val="00C66219"/>
    <w:rsid w:val="00C67855"/>
    <w:rsid w:val="00C70BB6"/>
    <w:rsid w:val="00C7250E"/>
    <w:rsid w:val="00C741EE"/>
    <w:rsid w:val="00C7489E"/>
    <w:rsid w:val="00C76979"/>
    <w:rsid w:val="00C774B2"/>
    <w:rsid w:val="00C80A97"/>
    <w:rsid w:val="00C827B1"/>
    <w:rsid w:val="00C82AB3"/>
    <w:rsid w:val="00C83166"/>
    <w:rsid w:val="00C842D8"/>
    <w:rsid w:val="00C86954"/>
    <w:rsid w:val="00C87439"/>
    <w:rsid w:val="00C87D68"/>
    <w:rsid w:val="00C92573"/>
    <w:rsid w:val="00C92764"/>
    <w:rsid w:val="00C93038"/>
    <w:rsid w:val="00CA0D4D"/>
    <w:rsid w:val="00CA0E60"/>
    <w:rsid w:val="00CA2CEA"/>
    <w:rsid w:val="00CA2E40"/>
    <w:rsid w:val="00CA39A0"/>
    <w:rsid w:val="00CA3D55"/>
    <w:rsid w:val="00CA3F57"/>
    <w:rsid w:val="00CA4AB0"/>
    <w:rsid w:val="00CA5C75"/>
    <w:rsid w:val="00CA6B84"/>
    <w:rsid w:val="00CA74A1"/>
    <w:rsid w:val="00CB22EF"/>
    <w:rsid w:val="00CB237F"/>
    <w:rsid w:val="00CB2A30"/>
    <w:rsid w:val="00CB37C8"/>
    <w:rsid w:val="00CB575A"/>
    <w:rsid w:val="00CB7EA3"/>
    <w:rsid w:val="00CB7EE7"/>
    <w:rsid w:val="00CC0411"/>
    <w:rsid w:val="00CC2324"/>
    <w:rsid w:val="00CC4F55"/>
    <w:rsid w:val="00CC7E9B"/>
    <w:rsid w:val="00CD0064"/>
    <w:rsid w:val="00CD147E"/>
    <w:rsid w:val="00CD19F6"/>
    <w:rsid w:val="00CD25BE"/>
    <w:rsid w:val="00CD2A36"/>
    <w:rsid w:val="00CD3A94"/>
    <w:rsid w:val="00CE3A3C"/>
    <w:rsid w:val="00CE41F6"/>
    <w:rsid w:val="00CE5798"/>
    <w:rsid w:val="00CF2A81"/>
    <w:rsid w:val="00CF35EC"/>
    <w:rsid w:val="00CF3B43"/>
    <w:rsid w:val="00CF4490"/>
    <w:rsid w:val="00CF4ACE"/>
    <w:rsid w:val="00CF4AFD"/>
    <w:rsid w:val="00CF77CA"/>
    <w:rsid w:val="00D01EAC"/>
    <w:rsid w:val="00D02076"/>
    <w:rsid w:val="00D02AC6"/>
    <w:rsid w:val="00D03F21"/>
    <w:rsid w:val="00D0487C"/>
    <w:rsid w:val="00D05F43"/>
    <w:rsid w:val="00D066D8"/>
    <w:rsid w:val="00D1064C"/>
    <w:rsid w:val="00D10798"/>
    <w:rsid w:val="00D10B6A"/>
    <w:rsid w:val="00D1223A"/>
    <w:rsid w:val="00D14ED5"/>
    <w:rsid w:val="00D15E22"/>
    <w:rsid w:val="00D164CA"/>
    <w:rsid w:val="00D16DDE"/>
    <w:rsid w:val="00D17BE1"/>
    <w:rsid w:val="00D206A8"/>
    <w:rsid w:val="00D20D60"/>
    <w:rsid w:val="00D21B83"/>
    <w:rsid w:val="00D2263F"/>
    <w:rsid w:val="00D22D14"/>
    <w:rsid w:val="00D23576"/>
    <w:rsid w:val="00D24066"/>
    <w:rsid w:val="00D24B92"/>
    <w:rsid w:val="00D30C78"/>
    <w:rsid w:val="00D33A67"/>
    <w:rsid w:val="00D4048C"/>
    <w:rsid w:val="00D4348A"/>
    <w:rsid w:val="00D4464F"/>
    <w:rsid w:val="00D4485B"/>
    <w:rsid w:val="00D461E9"/>
    <w:rsid w:val="00D462D1"/>
    <w:rsid w:val="00D477EC"/>
    <w:rsid w:val="00D509F0"/>
    <w:rsid w:val="00D531D8"/>
    <w:rsid w:val="00D53790"/>
    <w:rsid w:val="00D54614"/>
    <w:rsid w:val="00D54D6F"/>
    <w:rsid w:val="00D55403"/>
    <w:rsid w:val="00D5565D"/>
    <w:rsid w:val="00D5661F"/>
    <w:rsid w:val="00D57B4F"/>
    <w:rsid w:val="00D61639"/>
    <w:rsid w:val="00D62758"/>
    <w:rsid w:val="00D62BCC"/>
    <w:rsid w:val="00D62DEB"/>
    <w:rsid w:val="00D63523"/>
    <w:rsid w:val="00D6774D"/>
    <w:rsid w:val="00D7308F"/>
    <w:rsid w:val="00D73B3D"/>
    <w:rsid w:val="00D7550F"/>
    <w:rsid w:val="00D776E9"/>
    <w:rsid w:val="00D80697"/>
    <w:rsid w:val="00D8074A"/>
    <w:rsid w:val="00D82030"/>
    <w:rsid w:val="00D84213"/>
    <w:rsid w:val="00D84BDA"/>
    <w:rsid w:val="00D84E9A"/>
    <w:rsid w:val="00D84EC3"/>
    <w:rsid w:val="00D85CEE"/>
    <w:rsid w:val="00D85DAB"/>
    <w:rsid w:val="00D879F0"/>
    <w:rsid w:val="00D90133"/>
    <w:rsid w:val="00D90868"/>
    <w:rsid w:val="00D915B1"/>
    <w:rsid w:val="00D925B3"/>
    <w:rsid w:val="00D92E67"/>
    <w:rsid w:val="00D97FE5"/>
    <w:rsid w:val="00DA560B"/>
    <w:rsid w:val="00DA7468"/>
    <w:rsid w:val="00DB18DC"/>
    <w:rsid w:val="00DB2560"/>
    <w:rsid w:val="00DB4F0A"/>
    <w:rsid w:val="00DB5BE8"/>
    <w:rsid w:val="00DB6D4A"/>
    <w:rsid w:val="00DB74CD"/>
    <w:rsid w:val="00DC003C"/>
    <w:rsid w:val="00DC09B0"/>
    <w:rsid w:val="00DC3BBB"/>
    <w:rsid w:val="00DC3C2F"/>
    <w:rsid w:val="00DC5981"/>
    <w:rsid w:val="00DC6D2A"/>
    <w:rsid w:val="00DC7FE0"/>
    <w:rsid w:val="00DD29B9"/>
    <w:rsid w:val="00DD2D0F"/>
    <w:rsid w:val="00DD4A55"/>
    <w:rsid w:val="00DD4C8B"/>
    <w:rsid w:val="00DD4C90"/>
    <w:rsid w:val="00DD58BA"/>
    <w:rsid w:val="00DD7B5A"/>
    <w:rsid w:val="00DE0875"/>
    <w:rsid w:val="00DE1F0C"/>
    <w:rsid w:val="00DE1F33"/>
    <w:rsid w:val="00DE4033"/>
    <w:rsid w:val="00DE54FF"/>
    <w:rsid w:val="00DE77DE"/>
    <w:rsid w:val="00DF0472"/>
    <w:rsid w:val="00DF2A16"/>
    <w:rsid w:val="00DF3ABF"/>
    <w:rsid w:val="00DF4202"/>
    <w:rsid w:val="00DF5147"/>
    <w:rsid w:val="00DF516E"/>
    <w:rsid w:val="00DF54BC"/>
    <w:rsid w:val="00DF5B6E"/>
    <w:rsid w:val="00DF5ECD"/>
    <w:rsid w:val="00DF5EDC"/>
    <w:rsid w:val="00DF6B02"/>
    <w:rsid w:val="00E00F38"/>
    <w:rsid w:val="00E02A74"/>
    <w:rsid w:val="00E03FDA"/>
    <w:rsid w:val="00E04F4C"/>
    <w:rsid w:val="00E05716"/>
    <w:rsid w:val="00E11618"/>
    <w:rsid w:val="00E14640"/>
    <w:rsid w:val="00E16E51"/>
    <w:rsid w:val="00E2017E"/>
    <w:rsid w:val="00E215C4"/>
    <w:rsid w:val="00E22201"/>
    <w:rsid w:val="00E254BC"/>
    <w:rsid w:val="00E25BFA"/>
    <w:rsid w:val="00E266AD"/>
    <w:rsid w:val="00E274F5"/>
    <w:rsid w:val="00E31193"/>
    <w:rsid w:val="00E32023"/>
    <w:rsid w:val="00E346A6"/>
    <w:rsid w:val="00E37591"/>
    <w:rsid w:val="00E37FBA"/>
    <w:rsid w:val="00E40212"/>
    <w:rsid w:val="00E41105"/>
    <w:rsid w:val="00E42086"/>
    <w:rsid w:val="00E43907"/>
    <w:rsid w:val="00E44875"/>
    <w:rsid w:val="00E46F79"/>
    <w:rsid w:val="00E47101"/>
    <w:rsid w:val="00E512BE"/>
    <w:rsid w:val="00E51BEE"/>
    <w:rsid w:val="00E52CB9"/>
    <w:rsid w:val="00E53997"/>
    <w:rsid w:val="00E55928"/>
    <w:rsid w:val="00E57F0C"/>
    <w:rsid w:val="00E61D7A"/>
    <w:rsid w:val="00E625ED"/>
    <w:rsid w:val="00E63514"/>
    <w:rsid w:val="00E646DE"/>
    <w:rsid w:val="00E659F2"/>
    <w:rsid w:val="00E671E6"/>
    <w:rsid w:val="00E70263"/>
    <w:rsid w:val="00E70264"/>
    <w:rsid w:val="00E74743"/>
    <w:rsid w:val="00E75138"/>
    <w:rsid w:val="00E76BB4"/>
    <w:rsid w:val="00E76D8E"/>
    <w:rsid w:val="00E816B2"/>
    <w:rsid w:val="00E82494"/>
    <w:rsid w:val="00E86140"/>
    <w:rsid w:val="00E86686"/>
    <w:rsid w:val="00E86752"/>
    <w:rsid w:val="00E878BC"/>
    <w:rsid w:val="00E9014A"/>
    <w:rsid w:val="00E90A64"/>
    <w:rsid w:val="00E90D00"/>
    <w:rsid w:val="00E90D5B"/>
    <w:rsid w:val="00E91AEB"/>
    <w:rsid w:val="00E92544"/>
    <w:rsid w:val="00E94C76"/>
    <w:rsid w:val="00E94D6D"/>
    <w:rsid w:val="00E9568E"/>
    <w:rsid w:val="00E96995"/>
    <w:rsid w:val="00E97E85"/>
    <w:rsid w:val="00EA0574"/>
    <w:rsid w:val="00EA098F"/>
    <w:rsid w:val="00EA2B4E"/>
    <w:rsid w:val="00EA2C7E"/>
    <w:rsid w:val="00EA5BAF"/>
    <w:rsid w:val="00EA68E9"/>
    <w:rsid w:val="00EB068A"/>
    <w:rsid w:val="00EB09D7"/>
    <w:rsid w:val="00EB2E3C"/>
    <w:rsid w:val="00EB389E"/>
    <w:rsid w:val="00EB39DC"/>
    <w:rsid w:val="00EB51F4"/>
    <w:rsid w:val="00EB5880"/>
    <w:rsid w:val="00EB589A"/>
    <w:rsid w:val="00EB7212"/>
    <w:rsid w:val="00EC10EF"/>
    <w:rsid w:val="00EC1433"/>
    <w:rsid w:val="00EC3124"/>
    <w:rsid w:val="00EC46DB"/>
    <w:rsid w:val="00EC6234"/>
    <w:rsid w:val="00EC6F29"/>
    <w:rsid w:val="00ED0D70"/>
    <w:rsid w:val="00ED14E6"/>
    <w:rsid w:val="00ED2903"/>
    <w:rsid w:val="00ED3F7B"/>
    <w:rsid w:val="00ED4B60"/>
    <w:rsid w:val="00ED4EB2"/>
    <w:rsid w:val="00ED5DC6"/>
    <w:rsid w:val="00ED68CA"/>
    <w:rsid w:val="00ED71F9"/>
    <w:rsid w:val="00ED7DD8"/>
    <w:rsid w:val="00EE0194"/>
    <w:rsid w:val="00EE245F"/>
    <w:rsid w:val="00EE288C"/>
    <w:rsid w:val="00EE2A29"/>
    <w:rsid w:val="00EE2B0B"/>
    <w:rsid w:val="00EE2C87"/>
    <w:rsid w:val="00EE2FE8"/>
    <w:rsid w:val="00EE4568"/>
    <w:rsid w:val="00EE566A"/>
    <w:rsid w:val="00EE7256"/>
    <w:rsid w:val="00EF1D9C"/>
    <w:rsid w:val="00EF249F"/>
    <w:rsid w:val="00EF261E"/>
    <w:rsid w:val="00EF335C"/>
    <w:rsid w:val="00EF3FB2"/>
    <w:rsid w:val="00EF5163"/>
    <w:rsid w:val="00EF79C2"/>
    <w:rsid w:val="00F051FE"/>
    <w:rsid w:val="00F05BEC"/>
    <w:rsid w:val="00F06F5B"/>
    <w:rsid w:val="00F1229D"/>
    <w:rsid w:val="00F12934"/>
    <w:rsid w:val="00F14C54"/>
    <w:rsid w:val="00F16ECB"/>
    <w:rsid w:val="00F211E0"/>
    <w:rsid w:val="00F21C28"/>
    <w:rsid w:val="00F24A6A"/>
    <w:rsid w:val="00F27069"/>
    <w:rsid w:val="00F31ED4"/>
    <w:rsid w:val="00F3469C"/>
    <w:rsid w:val="00F350FE"/>
    <w:rsid w:val="00F356BF"/>
    <w:rsid w:val="00F36096"/>
    <w:rsid w:val="00F420F4"/>
    <w:rsid w:val="00F42A23"/>
    <w:rsid w:val="00F44924"/>
    <w:rsid w:val="00F44C65"/>
    <w:rsid w:val="00F45938"/>
    <w:rsid w:val="00F469EA"/>
    <w:rsid w:val="00F503D7"/>
    <w:rsid w:val="00F52073"/>
    <w:rsid w:val="00F54C6B"/>
    <w:rsid w:val="00F56360"/>
    <w:rsid w:val="00F603BA"/>
    <w:rsid w:val="00F609BF"/>
    <w:rsid w:val="00F6107B"/>
    <w:rsid w:val="00F62282"/>
    <w:rsid w:val="00F63F07"/>
    <w:rsid w:val="00F65E35"/>
    <w:rsid w:val="00F66455"/>
    <w:rsid w:val="00F67FCC"/>
    <w:rsid w:val="00F70A11"/>
    <w:rsid w:val="00F71CDD"/>
    <w:rsid w:val="00F721A7"/>
    <w:rsid w:val="00F74741"/>
    <w:rsid w:val="00F75ADF"/>
    <w:rsid w:val="00F75CCB"/>
    <w:rsid w:val="00F76E43"/>
    <w:rsid w:val="00F8063C"/>
    <w:rsid w:val="00F816D3"/>
    <w:rsid w:val="00F82960"/>
    <w:rsid w:val="00F82EA8"/>
    <w:rsid w:val="00F839D4"/>
    <w:rsid w:val="00F840F9"/>
    <w:rsid w:val="00F84D3D"/>
    <w:rsid w:val="00F86E0D"/>
    <w:rsid w:val="00F93706"/>
    <w:rsid w:val="00F93725"/>
    <w:rsid w:val="00F9422F"/>
    <w:rsid w:val="00F96FE8"/>
    <w:rsid w:val="00F97D17"/>
    <w:rsid w:val="00FA09EB"/>
    <w:rsid w:val="00FA1E36"/>
    <w:rsid w:val="00FA1F3C"/>
    <w:rsid w:val="00FA7E2B"/>
    <w:rsid w:val="00FB1DF0"/>
    <w:rsid w:val="00FB39DD"/>
    <w:rsid w:val="00FB5FF2"/>
    <w:rsid w:val="00FC04C1"/>
    <w:rsid w:val="00FC11C6"/>
    <w:rsid w:val="00FC15D5"/>
    <w:rsid w:val="00FC1FF8"/>
    <w:rsid w:val="00FC28D3"/>
    <w:rsid w:val="00FC45DA"/>
    <w:rsid w:val="00FC63BC"/>
    <w:rsid w:val="00FD03D6"/>
    <w:rsid w:val="00FD1284"/>
    <w:rsid w:val="00FD1674"/>
    <w:rsid w:val="00FD16D2"/>
    <w:rsid w:val="00FD3C20"/>
    <w:rsid w:val="00FD3E2F"/>
    <w:rsid w:val="00FD6989"/>
    <w:rsid w:val="00FE1AC2"/>
    <w:rsid w:val="00FE373A"/>
    <w:rsid w:val="00FE4284"/>
    <w:rsid w:val="00FE4EA8"/>
    <w:rsid w:val="00FE5A51"/>
    <w:rsid w:val="00FE6E2B"/>
    <w:rsid w:val="00FF09C8"/>
    <w:rsid w:val="00FF0BF7"/>
    <w:rsid w:val="00FF0C51"/>
    <w:rsid w:val="00FF1435"/>
    <w:rsid w:val="00FF1F47"/>
    <w:rsid w:val="00FF2F91"/>
    <w:rsid w:val="00FF4078"/>
    <w:rsid w:val="00FF56AD"/>
    <w:rsid w:val="00FF6270"/>
    <w:rsid w:val="00FF6E7B"/>
    <w:rsid w:val="04C753F0"/>
    <w:rsid w:val="0510684C"/>
    <w:rsid w:val="07B555EF"/>
    <w:rsid w:val="087035F5"/>
    <w:rsid w:val="0976348C"/>
    <w:rsid w:val="0BA825FB"/>
    <w:rsid w:val="0D20749B"/>
    <w:rsid w:val="0E925D3F"/>
    <w:rsid w:val="0F164F62"/>
    <w:rsid w:val="10B638EE"/>
    <w:rsid w:val="11FD4ABA"/>
    <w:rsid w:val="121706C3"/>
    <w:rsid w:val="13753754"/>
    <w:rsid w:val="1670712D"/>
    <w:rsid w:val="170E6BEA"/>
    <w:rsid w:val="174827CE"/>
    <w:rsid w:val="17756C79"/>
    <w:rsid w:val="186D7BD4"/>
    <w:rsid w:val="187C6D2B"/>
    <w:rsid w:val="19CC7FCA"/>
    <w:rsid w:val="1C8C6544"/>
    <w:rsid w:val="1D101AF1"/>
    <w:rsid w:val="1EC37911"/>
    <w:rsid w:val="1EEB284A"/>
    <w:rsid w:val="220371DB"/>
    <w:rsid w:val="22EC7F8F"/>
    <w:rsid w:val="257362C1"/>
    <w:rsid w:val="267B356A"/>
    <w:rsid w:val="2767428C"/>
    <w:rsid w:val="28417CD5"/>
    <w:rsid w:val="284548BE"/>
    <w:rsid w:val="28714320"/>
    <w:rsid w:val="29527E04"/>
    <w:rsid w:val="29B07FFF"/>
    <w:rsid w:val="2BBA4E00"/>
    <w:rsid w:val="2C243EB7"/>
    <w:rsid w:val="33341B33"/>
    <w:rsid w:val="33AD307D"/>
    <w:rsid w:val="37C4448E"/>
    <w:rsid w:val="38A20231"/>
    <w:rsid w:val="39252C28"/>
    <w:rsid w:val="3A114F0B"/>
    <w:rsid w:val="3A8424DB"/>
    <w:rsid w:val="3D4020B4"/>
    <w:rsid w:val="3DA66E72"/>
    <w:rsid w:val="40FD4FA9"/>
    <w:rsid w:val="42762097"/>
    <w:rsid w:val="431D2A2B"/>
    <w:rsid w:val="43576E4B"/>
    <w:rsid w:val="45D06120"/>
    <w:rsid w:val="487821B3"/>
    <w:rsid w:val="49954B76"/>
    <w:rsid w:val="4E1B5EF1"/>
    <w:rsid w:val="51510BE7"/>
    <w:rsid w:val="534B4C13"/>
    <w:rsid w:val="53882EFE"/>
    <w:rsid w:val="538A338C"/>
    <w:rsid w:val="54550B2A"/>
    <w:rsid w:val="552773F1"/>
    <w:rsid w:val="5E6D12DE"/>
    <w:rsid w:val="5EA00956"/>
    <w:rsid w:val="605B4463"/>
    <w:rsid w:val="61021BCE"/>
    <w:rsid w:val="630932C0"/>
    <w:rsid w:val="636153E5"/>
    <w:rsid w:val="65E468EE"/>
    <w:rsid w:val="69C52552"/>
    <w:rsid w:val="6BEC5D01"/>
    <w:rsid w:val="6D0446EE"/>
    <w:rsid w:val="6EAE3F71"/>
    <w:rsid w:val="6EFF4806"/>
    <w:rsid w:val="6F2B47ED"/>
    <w:rsid w:val="6F401175"/>
    <w:rsid w:val="73302784"/>
    <w:rsid w:val="737A20F3"/>
    <w:rsid w:val="73815180"/>
    <w:rsid w:val="738B58EE"/>
    <w:rsid w:val="73A40E28"/>
    <w:rsid w:val="75613325"/>
    <w:rsid w:val="76D72D65"/>
    <w:rsid w:val="78104AA8"/>
    <w:rsid w:val="797F75FC"/>
    <w:rsid w:val="798175E5"/>
    <w:rsid w:val="7C530E51"/>
    <w:rsid w:val="7E4F55C3"/>
    <w:rsid w:val="7F6D27E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semiHidden="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 w:cs="Times New Roman"/>
      <w:kern w:val="2"/>
      <w:sz w:val="28"/>
      <w:szCs w:val="21"/>
      <w:lang w:val="en-US" w:eastAsia="zh-CN" w:bidi="ar-SA"/>
    </w:rPr>
  </w:style>
  <w:style w:type="paragraph" w:styleId="2">
    <w:name w:val="heading 1"/>
    <w:basedOn w:val="1"/>
    <w:next w:val="1"/>
    <w:link w:val="30"/>
    <w:qFormat/>
    <w:locked/>
    <w:uiPriority w:val="0"/>
    <w:pPr>
      <w:keepNext/>
      <w:keepLines/>
      <w:numPr>
        <w:ilvl w:val="0"/>
        <w:numId w:val="1"/>
      </w:numPr>
      <w:spacing w:before="340" w:after="330" w:line="360" w:lineRule="auto"/>
      <w:ind w:firstLineChars="0"/>
      <w:outlineLvl w:val="0"/>
    </w:pPr>
    <w:rPr>
      <w:rFonts w:eastAsia="黑体"/>
      <w:b/>
      <w:bCs/>
      <w:kern w:val="44"/>
      <w:sz w:val="36"/>
      <w:szCs w:val="44"/>
    </w:rPr>
  </w:style>
  <w:style w:type="paragraph" w:styleId="3">
    <w:name w:val="heading 2"/>
    <w:basedOn w:val="1"/>
    <w:next w:val="1"/>
    <w:link w:val="35"/>
    <w:unhideWhenUsed/>
    <w:qFormat/>
    <w:locked/>
    <w:uiPriority w:val="0"/>
    <w:pPr>
      <w:keepNext/>
      <w:keepLines/>
      <w:numPr>
        <w:ilvl w:val="1"/>
        <w:numId w:val="1"/>
      </w:numPr>
      <w:spacing w:before="260" w:after="260" w:line="415" w:lineRule="auto"/>
      <w:ind w:left="0" w:firstLineChars="0"/>
      <w:outlineLvl w:val="1"/>
    </w:pPr>
    <w:rPr>
      <w:rFonts w:eastAsia="黑体" w:cstheme="majorBidi"/>
      <w:b/>
      <w:bCs/>
      <w:sz w:val="32"/>
      <w:szCs w:val="32"/>
    </w:rPr>
  </w:style>
  <w:style w:type="paragraph" w:styleId="4">
    <w:name w:val="heading 3"/>
    <w:basedOn w:val="1"/>
    <w:next w:val="1"/>
    <w:link w:val="36"/>
    <w:unhideWhenUsed/>
    <w:qFormat/>
    <w:locked/>
    <w:uiPriority w:val="0"/>
    <w:pPr>
      <w:keepNext/>
      <w:keepLines/>
      <w:numPr>
        <w:ilvl w:val="2"/>
        <w:numId w:val="1"/>
      </w:numPr>
      <w:spacing w:before="260" w:after="260" w:line="415" w:lineRule="auto"/>
      <w:ind w:firstLineChars="0"/>
      <w:outlineLvl w:val="2"/>
    </w:pPr>
    <w:rPr>
      <w:b/>
      <w:bCs/>
      <w:szCs w:val="32"/>
    </w:rPr>
  </w:style>
  <w:style w:type="paragraph" w:styleId="5">
    <w:name w:val="heading 4"/>
    <w:basedOn w:val="1"/>
    <w:next w:val="1"/>
    <w:link w:val="37"/>
    <w:unhideWhenUsed/>
    <w:qFormat/>
    <w:locked/>
    <w:uiPriority w:val="0"/>
    <w:pPr>
      <w:keepNext/>
      <w:keepLines/>
      <w:spacing w:before="280" w:after="290" w:line="376" w:lineRule="auto"/>
      <w:ind w:firstLine="0" w:firstLineChars="0"/>
      <w:outlineLvl w:val="3"/>
    </w:pPr>
    <w:rPr>
      <w:rFonts w:asciiTheme="majorHAnsi" w:hAnsiTheme="majorHAnsi" w:cstheme="majorBidi"/>
      <w:b/>
      <w:bCs/>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1"/>
    <w:semiHidden/>
    <w:unhideWhenUsed/>
    <w:qFormat/>
    <w:uiPriority w:val="99"/>
    <w:rPr>
      <w:rFonts w:ascii="宋体"/>
      <w:sz w:val="18"/>
      <w:szCs w:val="18"/>
    </w:rPr>
  </w:style>
  <w:style w:type="paragraph" w:styleId="7">
    <w:name w:val="annotation text"/>
    <w:basedOn w:val="1"/>
    <w:link w:val="32"/>
    <w:unhideWhenUsed/>
    <w:qFormat/>
    <w:uiPriority w:val="99"/>
    <w:pPr>
      <w:jc w:val="left"/>
    </w:pPr>
  </w:style>
  <w:style w:type="paragraph" w:styleId="8">
    <w:name w:val="Block Text"/>
    <w:basedOn w:val="1"/>
    <w:qFormat/>
    <w:uiPriority w:val="0"/>
    <w:pPr>
      <w:spacing w:line="520" w:lineRule="atLeast"/>
      <w:ind w:left="1320" w:right="-321" w:hanging="960"/>
      <w:jc w:val="left"/>
    </w:pPr>
    <w:rPr>
      <w:rFonts w:ascii="仿宋_GB2312" w:hAnsi="Calibri" w:eastAsia="仿宋_GB2312"/>
      <w:sz w:val="32"/>
      <w:szCs w:val="24"/>
    </w:rPr>
  </w:style>
  <w:style w:type="paragraph" w:styleId="9">
    <w:name w:val="toc 3"/>
    <w:basedOn w:val="1"/>
    <w:next w:val="1"/>
    <w:unhideWhenUsed/>
    <w:qFormat/>
    <w:uiPriority w:val="39"/>
    <w:pPr>
      <w:widowControl/>
      <w:spacing w:after="100" w:line="259" w:lineRule="auto"/>
      <w:ind w:left="440" w:firstLine="0" w:firstLineChars="0"/>
      <w:jc w:val="left"/>
    </w:pPr>
    <w:rPr>
      <w:rFonts w:asciiTheme="minorHAnsi" w:hAnsiTheme="minorHAnsi" w:eastAsiaTheme="minorEastAsia"/>
      <w:kern w:val="0"/>
      <w:sz w:val="22"/>
      <w:szCs w:val="22"/>
    </w:rPr>
  </w:style>
  <w:style w:type="paragraph" w:styleId="10">
    <w:name w:val="Balloon Text"/>
    <w:basedOn w:val="1"/>
    <w:link w:val="23"/>
    <w:semiHidden/>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sz w:val="18"/>
      <w:szCs w:val="18"/>
    </w:rPr>
  </w:style>
  <w:style w:type="paragraph" w:styleId="12">
    <w:name w:val="header"/>
    <w:basedOn w:val="1"/>
    <w:link w:val="24"/>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tabs>
        <w:tab w:val="right" w:leader="dot" w:pos="8296"/>
      </w:tabs>
      <w:spacing w:line="360" w:lineRule="auto"/>
    </w:pPr>
    <w:rPr>
      <w:rFonts w:ascii="黑体" w:hAnsi="华文中宋" w:eastAsia="黑体" w:cstheme="minorBidi"/>
      <w:b/>
      <w:szCs w:val="28"/>
    </w:rPr>
  </w:style>
  <w:style w:type="paragraph" w:styleId="14">
    <w:name w:val="toc 2"/>
    <w:basedOn w:val="1"/>
    <w:next w:val="1"/>
    <w:unhideWhenUsed/>
    <w:qFormat/>
    <w:uiPriority w:val="39"/>
    <w:pPr>
      <w:tabs>
        <w:tab w:val="right" w:leader="dot" w:pos="8296"/>
      </w:tabs>
      <w:ind w:left="560" w:leftChars="200" w:firstLine="6" w:firstLineChars="2"/>
    </w:pPr>
  </w:style>
  <w:style w:type="paragraph" w:styleId="15">
    <w:name w:val="Title"/>
    <w:basedOn w:val="1"/>
    <w:next w:val="1"/>
    <w:link w:val="38"/>
    <w:qFormat/>
    <w:locked/>
    <w:uiPriority w:val="0"/>
    <w:pPr>
      <w:spacing w:before="240" w:after="60"/>
      <w:jc w:val="center"/>
      <w:outlineLvl w:val="0"/>
    </w:pPr>
    <w:rPr>
      <w:rFonts w:eastAsia="黑体" w:asciiTheme="majorHAnsi" w:hAnsiTheme="majorHAnsi" w:cstheme="majorBidi"/>
      <w:b/>
      <w:bCs/>
      <w:sz w:val="52"/>
      <w:szCs w:val="32"/>
    </w:rPr>
  </w:style>
  <w:style w:type="paragraph" w:styleId="16">
    <w:name w:val="annotation subject"/>
    <w:basedOn w:val="7"/>
    <w:next w:val="7"/>
    <w:link w:val="33"/>
    <w:semiHidden/>
    <w:unhideWhenUsed/>
    <w:qFormat/>
    <w:uiPriority w:val="99"/>
    <w:rPr>
      <w:b/>
      <w:bCs/>
    </w:rPr>
  </w:style>
  <w:style w:type="table" w:styleId="18">
    <w:name w:val="Table Grid"/>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qFormat/>
    <w:uiPriority w:val="99"/>
    <w:rPr>
      <w:color w:val="0000FF" w:themeColor="hyperlink"/>
      <w:u w:val="single"/>
      <w14:textFill>
        <w14:solidFill>
          <w14:schemeClr w14:val="hlink"/>
        </w14:solidFill>
      </w14:textFill>
    </w:rPr>
  </w:style>
  <w:style w:type="character" w:styleId="21">
    <w:name w:val="annotation reference"/>
    <w:basedOn w:val="19"/>
    <w:semiHidden/>
    <w:unhideWhenUsed/>
    <w:qFormat/>
    <w:uiPriority w:val="99"/>
    <w:rPr>
      <w:sz w:val="21"/>
      <w:szCs w:val="21"/>
    </w:rPr>
  </w:style>
  <w:style w:type="paragraph" w:customStyle="1" w:styleId="22">
    <w:name w:val="Default"/>
    <w:unhideWhenUsed/>
    <w:qFormat/>
    <w:uiPriority w:val="99"/>
    <w:pPr>
      <w:widowControl w:val="0"/>
      <w:autoSpaceDE w:val="0"/>
      <w:autoSpaceDN w:val="0"/>
      <w:adjustRightInd w:val="0"/>
    </w:pPr>
    <w:rPr>
      <w:rFonts w:hint="eastAsia" w:ascii="Times New Roman" w:hAnsi="Times New Roman" w:eastAsia="Times New Roman" w:cs="Times New Roman"/>
      <w:color w:val="000000"/>
      <w:sz w:val="24"/>
      <w:szCs w:val="22"/>
      <w:lang w:val="en-US" w:eastAsia="zh-CN" w:bidi="ar-SA"/>
    </w:rPr>
  </w:style>
  <w:style w:type="character" w:customStyle="1" w:styleId="23">
    <w:name w:val="批注框文本 字符"/>
    <w:basedOn w:val="19"/>
    <w:link w:val="10"/>
    <w:qFormat/>
    <w:locked/>
    <w:uiPriority w:val="99"/>
    <w:rPr>
      <w:kern w:val="2"/>
      <w:sz w:val="18"/>
      <w:szCs w:val="18"/>
    </w:rPr>
  </w:style>
  <w:style w:type="character" w:customStyle="1" w:styleId="24">
    <w:name w:val="页眉 字符"/>
    <w:basedOn w:val="19"/>
    <w:link w:val="12"/>
    <w:semiHidden/>
    <w:qFormat/>
    <w:uiPriority w:val="99"/>
    <w:rPr>
      <w:sz w:val="18"/>
      <w:szCs w:val="18"/>
    </w:rPr>
  </w:style>
  <w:style w:type="character" w:customStyle="1" w:styleId="25">
    <w:name w:val="页脚 字符"/>
    <w:basedOn w:val="19"/>
    <w:link w:val="11"/>
    <w:qFormat/>
    <w:uiPriority w:val="99"/>
    <w:rPr>
      <w:sz w:val="18"/>
      <w:szCs w:val="18"/>
    </w:rPr>
  </w:style>
  <w:style w:type="paragraph" w:styleId="26">
    <w:name w:val="List Paragraph"/>
    <w:basedOn w:val="1"/>
    <w:qFormat/>
    <w:uiPriority w:val="34"/>
    <w:pPr>
      <w:ind w:firstLine="0" w:firstLineChars="0"/>
    </w:pPr>
    <w:rPr>
      <w:rFonts w:ascii="仿宋"/>
    </w:rPr>
  </w:style>
  <w:style w:type="paragraph" w:customStyle="1" w:styleId="27">
    <w:name w:val="列出段落1"/>
    <w:basedOn w:val="1"/>
    <w:qFormat/>
    <w:uiPriority w:val="0"/>
    <w:pPr>
      <w:ind w:firstLine="420"/>
    </w:pPr>
    <w:rPr>
      <w:szCs w:val="24"/>
    </w:rPr>
  </w:style>
  <w:style w:type="paragraph" w:customStyle="1" w:styleId="28">
    <w:name w:val="正文 A"/>
    <w:qFormat/>
    <w:uiPriority w:val="99"/>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宋体" w:cs="Arial Unicode MS"/>
      <w:color w:val="000000"/>
      <w:kern w:val="2"/>
      <w:sz w:val="21"/>
      <w:szCs w:val="21"/>
      <w:u w:color="000000"/>
      <w:lang w:val="en-US" w:eastAsia="zh-CN" w:bidi="ar-SA"/>
    </w:rPr>
  </w:style>
  <w:style w:type="paragraph" w:customStyle="1" w:styleId="29">
    <w:name w:val="样式 标题 1 + 黑体 四号 非加粗"/>
    <w:basedOn w:val="2"/>
    <w:qFormat/>
    <w:uiPriority w:val="0"/>
    <w:pPr>
      <w:keepNext w:val="0"/>
      <w:keepLines w:val="0"/>
      <w:numPr>
        <w:numId w:val="0"/>
      </w:numPr>
    </w:pPr>
    <w:rPr>
      <w:rFonts w:ascii="黑体" w:hAnsi="黑体" w:cstheme="minorBidi"/>
      <w:b w:val="0"/>
      <w:bCs w:val="0"/>
      <w:sz w:val="28"/>
    </w:rPr>
  </w:style>
  <w:style w:type="character" w:customStyle="1" w:styleId="30">
    <w:name w:val="标题 1 字符"/>
    <w:basedOn w:val="19"/>
    <w:link w:val="2"/>
    <w:qFormat/>
    <w:uiPriority w:val="0"/>
    <w:rPr>
      <w:rFonts w:eastAsia="黑体"/>
      <w:b/>
      <w:bCs/>
      <w:kern w:val="44"/>
      <w:sz w:val="36"/>
      <w:szCs w:val="44"/>
    </w:rPr>
  </w:style>
  <w:style w:type="character" w:customStyle="1" w:styleId="31">
    <w:name w:val="文档结构图 字符"/>
    <w:basedOn w:val="19"/>
    <w:link w:val="6"/>
    <w:semiHidden/>
    <w:qFormat/>
    <w:uiPriority w:val="99"/>
    <w:rPr>
      <w:rFonts w:ascii="宋体"/>
      <w:kern w:val="2"/>
      <w:sz w:val="18"/>
      <w:szCs w:val="18"/>
    </w:rPr>
  </w:style>
  <w:style w:type="character" w:customStyle="1" w:styleId="32">
    <w:name w:val="批注文字 字符"/>
    <w:basedOn w:val="19"/>
    <w:link w:val="7"/>
    <w:qFormat/>
    <w:uiPriority w:val="99"/>
    <w:rPr>
      <w:kern w:val="2"/>
      <w:sz w:val="21"/>
      <w:szCs w:val="21"/>
    </w:rPr>
  </w:style>
  <w:style w:type="character" w:customStyle="1" w:styleId="33">
    <w:name w:val="批注主题 字符"/>
    <w:basedOn w:val="32"/>
    <w:link w:val="16"/>
    <w:semiHidden/>
    <w:qFormat/>
    <w:uiPriority w:val="99"/>
    <w:rPr>
      <w:b/>
      <w:bCs/>
      <w:kern w:val="2"/>
      <w:sz w:val="21"/>
      <w:szCs w:val="21"/>
    </w:rPr>
  </w:style>
  <w:style w:type="paragraph" w:customStyle="1" w:styleId="34">
    <w:name w:val="p0"/>
    <w:basedOn w:val="1"/>
    <w:qFormat/>
    <w:uiPriority w:val="0"/>
    <w:pPr>
      <w:widowControl/>
    </w:pPr>
    <w:rPr>
      <w:rFonts w:ascii="Calibri" w:hAnsi="Calibri" w:cs="宋体"/>
      <w:kern w:val="0"/>
    </w:rPr>
  </w:style>
  <w:style w:type="character" w:customStyle="1" w:styleId="35">
    <w:name w:val="标题 2 字符"/>
    <w:basedOn w:val="19"/>
    <w:link w:val="3"/>
    <w:qFormat/>
    <w:uiPriority w:val="0"/>
    <w:rPr>
      <w:rFonts w:eastAsia="黑体" w:cstheme="majorBidi"/>
      <w:b/>
      <w:bCs/>
      <w:kern w:val="2"/>
      <w:sz w:val="32"/>
      <w:szCs w:val="32"/>
    </w:rPr>
  </w:style>
  <w:style w:type="character" w:customStyle="1" w:styleId="36">
    <w:name w:val="标题 3 字符"/>
    <w:basedOn w:val="19"/>
    <w:link w:val="4"/>
    <w:qFormat/>
    <w:uiPriority w:val="0"/>
    <w:rPr>
      <w:rFonts w:eastAsia="仿宋"/>
      <w:b/>
      <w:bCs/>
      <w:kern w:val="2"/>
      <w:sz w:val="28"/>
      <w:szCs w:val="32"/>
    </w:rPr>
  </w:style>
  <w:style w:type="character" w:customStyle="1" w:styleId="37">
    <w:name w:val="标题 4 字符"/>
    <w:basedOn w:val="19"/>
    <w:link w:val="5"/>
    <w:qFormat/>
    <w:uiPriority w:val="0"/>
    <w:rPr>
      <w:rFonts w:eastAsia="仿宋" w:asciiTheme="majorHAnsi" w:hAnsiTheme="majorHAnsi" w:cstheme="majorBidi"/>
      <w:b/>
      <w:bCs/>
      <w:kern w:val="2"/>
      <w:sz w:val="28"/>
      <w:szCs w:val="28"/>
    </w:rPr>
  </w:style>
  <w:style w:type="character" w:customStyle="1" w:styleId="38">
    <w:name w:val="标题 字符"/>
    <w:basedOn w:val="19"/>
    <w:link w:val="15"/>
    <w:qFormat/>
    <w:uiPriority w:val="0"/>
    <w:rPr>
      <w:rFonts w:eastAsia="黑体" w:asciiTheme="majorHAnsi" w:hAnsiTheme="majorHAnsi" w:cstheme="majorBidi"/>
      <w:b/>
      <w:bCs/>
      <w:kern w:val="2"/>
      <w:sz w:val="52"/>
      <w:szCs w:val="32"/>
    </w:rPr>
  </w:style>
  <w:style w:type="paragraph" w:customStyle="1" w:styleId="39">
    <w:name w:val="TOC 标题1"/>
    <w:basedOn w:val="2"/>
    <w:next w:val="1"/>
    <w:unhideWhenUsed/>
    <w:qFormat/>
    <w:uiPriority w:val="39"/>
    <w:pPr>
      <w:widowControl/>
      <w:numPr>
        <w:numId w:val="0"/>
      </w:numPr>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40">
    <w:name w:val="修订1"/>
    <w:hidden/>
    <w:semiHidden/>
    <w:qFormat/>
    <w:uiPriority w:val="99"/>
    <w:rPr>
      <w:rFonts w:ascii="Times New Roman" w:hAnsi="Times New Roman" w:eastAsia="仿宋" w:cs="Times New Roman"/>
      <w:kern w:val="2"/>
      <w:sz w:val="28"/>
      <w:szCs w:val="21"/>
      <w:lang w:val="en-US" w:eastAsia="zh-CN" w:bidi="ar-SA"/>
    </w:rPr>
  </w:style>
  <w:style w:type="paragraph" w:customStyle="1" w:styleId="41">
    <w:name w:val="修订2"/>
    <w:hidden/>
    <w:unhideWhenUsed/>
    <w:qFormat/>
    <w:uiPriority w:val="99"/>
    <w:rPr>
      <w:rFonts w:ascii="Times New Roman" w:hAnsi="Times New Roman" w:eastAsia="仿宋" w:cs="Times New Roman"/>
      <w:kern w:val="2"/>
      <w:sz w:val="28"/>
      <w:szCs w:val="21"/>
      <w:lang w:val="en-US" w:eastAsia="zh-CN" w:bidi="ar-SA"/>
    </w:rPr>
  </w:style>
  <w:style w:type="paragraph" w:customStyle="1" w:styleId="42">
    <w:name w:val="修订3"/>
    <w:hidden/>
    <w:unhideWhenUsed/>
    <w:qFormat/>
    <w:uiPriority w:val="99"/>
    <w:rPr>
      <w:rFonts w:ascii="Times New Roman" w:hAnsi="Times New Roman" w:eastAsia="仿宋" w:cs="Times New Roman"/>
      <w:kern w:val="2"/>
      <w:sz w:val="28"/>
      <w:szCs w:val="21"/>
      <w:lang w:val="en-US" w:eastAsia="zh-CN" w:bidi="ar-SA"/>
    </w:rPr>
  </w:style>
  <w:style w:type="paragraph" w:customStyle="1" w:styleId="43">
    <w:name w:val="修订4"/>
    <w:hidden/>
    <w:unhideWhenUsed/>
    <w:qFormat/>
    <w:uiPriority w:val="99"/>
    <w:rPr>
      <w:rFonts w:ascii="Times New Roman" w:hAnsi="Times New Roman" w:eastAsia="仿宋" w:cs="Times New Roman"/>
      <w:kern w:val="2"/>
      <w:sz w:val="28"/>
      <w:szCs w:val="21"/>
      <w:lang w:val="en-US" w:eastAsia="zh-CN" w:bidi="ar-SA"/>
    </w:rPr>
  </w:style>
  <w:style w:type="paragraph" w:customStyle="1" w:styleId="44">
    <w:name w:val="Revision"/>
    <w:hidden/>
    <w:unhideWhenUsed/>
    <w:qFormat/>
    <w:uiPriority w:val="99"/>
    <w:rPr>
      <w:rFonts w:ascii="Times New Roman" w:hAnsi="Times New Roman" w:eastAsia="仿宋" w:cs="Times New Roman"/>
      <w:kern w:val="2"/>
      <w:sz w:val="28"/>
      <w:szCs w:val="21"/>
      <w:lang w:val="en-US" w:eastAsia="zh-CN" w:bidi="ar-SA"/>
    </w:rPr>
  </w:style>
  <w:style w:type="paragraph" w:customStyle="1" w:styleId="4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C6B80-92FA-41D7-BFB0-C3676E338F73}">
  <ds:schemaRefs/>
</ds:datastoreItem>
</file>

<file path=docProps/app.xml><?xml version="1.0" encoding="utf-8"?>
<Properties xmlns="http://schemas.openxmlformats.org/officeDocument/2006/extended-properties" xmlns:vt="http://schemas.openxmlformats.org/officeDocument/2006/docPropsVTypes">
  <Template>Normal.dotm</Template>
  <Company>sdsd</Company>
  <Pages>15</Pages>
  <Words>5224</Words>
  <Characters>5455</Characters>
  <Lines>11</Lines>
  <Paragraphs>14</Paragraphs>
  <TotalTime>6</TotalTime>
  <ScaleCrop>false</ScaleCrop>
  <LinksUpToDate>false</LinksUpToDate>
  <CharactersWithSpaces>5488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2024-11-07T06:59:00Z</dcterms:created>
  <dc:creator>HUM</dc:creator>
  <cp:lastModifiedBy>谢映彤</cp:lastModifiedBy>
  <cp:lastPrinted>2025-03-19T08:21:00Z</cp:lastPrinted>
  <dcterms:modified xsi:type="dcterms:W3CDTF">2026-09-21T02:53:51Z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03FDBCA352BE4588A5AF2B7A955CB96F_13</vt:lpwstr>
  </property>
  <property fmtid="{D5CDD505-2E9C-101B-9397-08002B2CF9AE}" pid="4" name="KSOTemplateDocerSaveRecord">
    <vt:lpwstr>eyJoZGlkIjoiN2MwNzNjM2JlMTkwNjEwMTAyY2QwNDU0NDQ3Y2Y5NWIifQ==</vt:lpwstr>
  </property>
</Properties>
</file>