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00000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广州市花都区（空港经济区）2026年度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第二十三批次城镇建设用地（平石路二期</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〔新106国道-机场西路〕工程）</w:t>
      </w:r>
      <w:r>
        <w:rPr>
          <w:rFonts w:hint="eastAsia" w:ascii="方正小标宋简体" w:hAnsi="方正小标宋简体" w:eastAsia="方正小标宋简体" w:cs="方正小标宋简体"/>
          <w:color w:val="auto"/>
          <w:sz w:val="44"/>
          <w:szCs w:val="44"/>
          <w:lang w:eastAsia="zh-CN"/>
        </w:rPr>
        <w:t>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lang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w:t>
      </w:r>
      <w:r>
        <w:rPr>
          <w:rFonts w:hint="default" w:ascii="Times New Roman" w:hAnsi="Times New Roman" w:cs="Times New Roman"/>
          <w:color w:val="auto"/>
          <w:kern w:val="0"/>
          <w:shd w:val="clear" w:color="auto" w:fill="FFFFFF"/>
          <w:lang w:bidi="ar"/>
        </w:rPr>
        <w:t>会保障工作有关问题的通知》（劳社部发〔2007〕14号，下称劳社部发〔2007〕14号）、《广东省人民政府办公厅转发省人力资源社会保障厅关于进一步完善我省被征地农民养老保障政策意见的通知》（粤府办〔2021〕22号）</w:t>
      </w:r>
      <w:r>
        <w:rPr>
          <w:rFonts w:hint="default" w:ascii="Times New Roman" w:hAnsi="Times New Roman" w:cs="Times New Roman"/>
          <w:color w:val="auto"/>
          <w:kern w:val="0"/>
          <w:shd w:val="clear" w:color="auto" w:fill="FFFFFF"/>
          <w:lang w:eastAsia="zh-CN" w:bidi="ar"/>
        </w:rPr>
        <w:t>、《广东省</w:t>
      </w:r>
      <w:r>
        <w:rPr>
          <w:rFonts w:hint="default" w:ascii="Times New Roman" w:hAnsi="Times New Roman" w:cs="Times New Roman"/>
          <w:color w:val="auto"/>
          <w:kern w:val="0"/>
          <w:shd w:val="clear" w:color="auto" w:fill="FFFFFF"/>
          <w:lang w:val="en-US" w:eastAsia="zh-CN" w:bidi="ar"/>
        </w:rPr>
        <w:t>人力资源社会保障厅</w:t>
      </w:r>
      <w:r>
        <w:rPr>
          <w:rFonts w:hint="default" w:ascii="Times New Roman" w:hAnsi="Times New Roman" w:cs="Times New Roman"/>
          <w:color w:val="auto"/>
          <w:kern w:val="0"/>
          <w:shd w:val="clear" w:color="auto" w:fill="FFFFFF"/>
          <w:lang w:eastAsia="zh-CN" w:bidi="ar"/>
        </w:rPr>
        <w:t>人社厅关于进一步做好被征地农民社会保障工作完善相关政策的通知》（粤人社规〔2025〕48号）</w:t>
      </w:r>
      <w:r>
        <w:rPr>
          <w:rFonts w:hint="default" w:ascii="Times New Roman" w:hAnsi="Times New Roman" w:cs="Times New Roman"/>
          <w:color w:val="auto"/>
          <w:kern w:val="0"/>
          <w:shd w:val="clear" w:color="auto" w:fill="FFFFFF"/>
          <w:lang w:bidi="ar"/>
        </w:rPr>
        <w:t>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广州市花都区（空港经济区）2026年度第二十三批次城镇建设用地（平石路二期〔新106国道-机场西路〕工程）</w:t>
      </w:r>
      <w:r>
        <w:rPr>
          <w:rFonts w:hint="default" w:ascii="Times New Roman" w:hAnsi="Times New Roman" w:eastAsia="仿宋_GB2312" w:cs="Times New Roman"/>
          <w:color w:val="auto"/>
          <w:lang w:val="en-US" w:eastAsia="zh-CN"/>
        </w:rPr>
        <w:t>项目被征地农民养老保障方案如下：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广州市花都区（空港经济区）2026</w:t>
      </w:r>
      <w:bookmarkStart w:id="0" w:name="_GoBack"/>
      <w:bookmarkEnd w:id="0"/>
      <w:r>
        <w:rPr>
          <w:rFonts w:hint="default" w:ascii="Times New Roman" w:hAnsi="Times New Roman" w:cs="Times New Roman"/>
          <w:color w:val="auto"/>
          <w:lang w:val="en-US" w:eastAsia="zh-CN"/>
        </w:rPr>
        <w:t>年度第二十三批次城镇建设用地（平石路二期〔新106国道-机场西路〕工程）</w:t>
      </w:r>
      <w:r>
        <w:rPr>
          <w:rFonts w:hint="default" w:ascii="Times New Roman" w:hAnsi="Times New Roman" w:eastAsia="仿宋_GB2312" w:cs="Times New Roman"/>
          <w:color w:val="auto"/>
          <w:lang w:val="en-US" w:eastAsia="zh-CN"/>
        </w:rPr>
        <w:t>项目涉及的被征地农民实施社会养老保障。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i w:val="0"/>
          <w:caps w:val="0"/>
          <w:color w:val="auto"/>
          <w:spacing w:val="0"/>
          <w:kern w:val="0"/>
          <w:sz w:val="32"/>
          <w:szCs w:val="32"/>
          <w:shd w:val="clear" w:color="auto" w:fill="FFFFFF"/>
          <w:lang w:val="en-US" w:eastAsia="zh-CN" w:bidi="ar"/>
        </w:rPr>
        <w:sectPr>
          <w:pgSz w:w="11906" w:h="16838"/>
          <w:pgMar w:top="2098" w:right="1474" w:bottom="1928" w:left="1587"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eastAsia="zh-CN"/>
        </w:rPr>
        <w:t>花山镇平东村、平山村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土地面积共11.9100</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，征地双方尚未完成征地补偿安置协议签订。</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default" w:ascii="Times New Roman" w:hAnsi="Times New Roman" w:cs="Times New Roman"/>
          <w:color w:val="auto"/>
          <w:kern w:val="2"/>
          <w:shd w:val="clear" w:color="auto" w:fill="auto"/>
          <w:lang w:val="en-US" w:eastAsia="zh-CN" w:bidi="ar-SA"/>
        </w:rPr>
        <w:t>25.49</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一</w:t>
      </w:r>
      <w:r>
        <w:rPr>
          <w:rFonts w:hint="default" w:ascii="Times New Roman" w:hAnsi="Times New Roman" w:cs="Times New Roman"/>
          <w:b w:val="0"/>
          <w:bCs/>
          <w:color w:val="auto"/>
          <w:lang w:eastAsia="zh-CN"/>
        </w:rPr>
        <w:t>）</w:t>
      </w:r>
      <w:r>
        <w:rPr>
          <w:rFonts w:hint="default" w:ascii="Times New Roman" w:hAnsi="Times New Roman" w:eastAsia="仿宋_GB2312" w:cs="Times New Roman"/>
          <w:b w:val="0"/>
          <w:bCs/>
          <w:color w:val="auto"/>
        </w:rPr>
        <w:t>征地社保</w:t>
      </w:r>
      <w:r>
        <w:rPr>
          <w:rFonts w:hint="default" w:ascii="Times New Roman" w:hAnsi="Times New Roman" w:cs="Times New Roman"/>
          <w:b w:val="0"/>
          <w:bCs/>
          <w:color w:val="auto"/>
        </w:rPr>
        <w:t>费专款用于被征地农民</w:t>
      </w:r>
      <w:r>
        <w:rPr>
          <w:rFonts w:hint="default" w:ascii="Times New Roman" w:hAnsi="Times New Roman" w:cs="Times New Roman"/>
          <w:b w:val="0"/>
          <w:bCs/>
          <w:color w:val="auto"/>
          <w:lang w:val="en-US" w:eastAsia="zh-CN"/>
        </w:rPr>
        <w:t>的基本</w:t>
      </w:r>
      <w:r>
        <w:rPr>
          <w:rFonts w:hint="default" w:ascii="Times New Roman" w:hAnsi="Times New Roman" w:cs="Times New Roman"/>
          <w:b w:val="0"/>
          <w:bCs/>
          <w:color w:val="auto"/>
        </w:rPr>
        <w:t>养老保险</w:t>
      </w:r>
      <w:r>
        <w:rPr>
          <w:rFonts w:hint="default" w:ascii="Times New Roman" w:hAnsi="Times New Roman" w:cs="Times New Roman"/>
          <w:b w:val="0"/>
          <w:bCs/>
          <w:color w:val="auto"/>
          <w:lang w:val="en-US" w:eastAsia="zh-CN"/>
        </w:rPr>
        <w:t>缴费补贴。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1</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参加城乡居民基本养老保险的，征地社保费按规定划入社会保障基金财政专户后计入本人个人账户，合并形成新的个人账户储存额，按规定计息。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2</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已经领取城乡居民基本养老金的，将征地社保费一次性划入其个人账户，重核个人账户养老金，从次月起按新标准发放。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3</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4</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被征地农民</w:t>
      </w:r>
      <w:r>
        <w:rPr>
          <w:rFonts w:hint="default" w:ascii="Times New Roman" w:hAnsi="Times New Roman" w:cs="Times New Roman"/>
          <w:b w:val="0"/>
          <w:bCs/>
          <w:color w:val="auto"/>
          <w:lang w:eastAsia="zh-CN"/>
        </w:rPr>
        <w:t>已经领取城镇职工基本养老金的，将征地社保费一次性支付本人。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rPr>
      </w:pPr>
      <w:r>
        <w:rPr>
          <w:rFonts w:hint="default" w:ascii="Times New Roman" w:hAnsi="Times New Roman" w:cs="Times New Roman"/>
          <w:b w:val="0"/>
          <w:bCs w:val="0"/>
          <w:color w:val="auto"/>
          <w:lang w:val="en-US" w:eastAsia="zh-CN"/>
        </w:rPr>
        <w:t>（二）落实“</w:t>
      </w:r>
      <w:r>
        <w:rPr>
          <w:rFonts w:hint="default" w:ascii="Times New Roman" w:hAnsi="Times New Roman" w:eastAsia="仿宋_GB2312" w:cs="Times New Roman"/>
          <w:b w:val="0"/>
          <w:bCs w:val="0"/>
          <w:color w:val="auto"/>
        </w:rPr>
        <w:t>征地社保费与征地</w:t>
      </w:r>
      <w:r>
        <w:rPr>
          <w:rFonts w:hint="default" w:ascii="Times New Roman" w:hAnsi="Times New Roman" w:eastAsia="仿宋_GB2312" w:cs="Times New Roman"/>
          <w:b w:val="0"/>
          <w:bCs/>
          <w:color w:val="auto"/>
        </w:rPr>
        <w:t>安置补偿费同期拨付</w:t>
      </w: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和“在项目获批后3个月内完成资金分配工作，落实参保到人”的有关规定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w:t>
      </w:r>
      <w:r>
        <w:rPr>
          <w:rFonts w:hint="default" w:ascii="Times New Roman" w:hAnsi="Times New Roman" w:cs="Times New Roman"/>
          <w:color w:val="auto"/>
          <w:sz w:val="32"/>
          <w:szCs w:val="32"/>
          <w:lang w:val="en-US" w:eastAsia="zh-CN"/>
        </w:rPr>
        <w:t>收</w:t>
      </w:r>
      <w:r>
        <w:rPr>
          <w:rFonts w:hint="default" w:ascii="Times New Roman" w:hAnsi="Times New Roman" w:cs="Times New Roman"/>
          <w:color w:val="auto"/>
          <w:sz w:val="32"/>
          <w:szCs w:val="32"/>
        </w:rPr>
        <w:t>土地</w:t>
      </w:r>
      <w:r>
        <w:rPr>
          <w:rFonts w:hint="default" w:ascii="Times New Roman" w:hAnsi="Times New Roman" w:cs="Times New Roman"/>
          <w:bCs w:val="0"/>
          <w:color w:val="auto"/>
          <w:kern w:val="2"/>
          <w:shd w:val="clear" w:color="auto" w:fill="auto"/>
          <w:lang w:val="en-US" w:eastAsia="zh-CN" w:bidi="ar-SA"/>
        </w:rPr>
        <w:t>及</w:t>
      </w:r>
      <w:r>
        <w:rPr>
          <w:rFonts w:hint="default" w:ascii="Times New Roman" w:hAnsi="Times New Roman" w:eastAsia="仿宋_GB2312" w:cs="Times New Roman"/>
          <w:bCs w:val="0"/>
          <w:color w:val="auto"/>
          <w:kern w:val="2"/>
          <w:shd w:val="clear" w:color="auto" w:fill="auto"/>
          <w:lang w:bidi="ar-SA"/>
        </w:rPr>
        <w:t>养老保障情况表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cs="Times New Roman"/>
          <w:color w:val="auto"/>
          <w:sz w:val="32"/>
          <w:szCs w:val="32"/>
          <w:lang w:val="en-US" w:eastAsia="zh-CN"/>
        </w:rPr>
        <w:t>9</w:t>
      </w:r>
      <w:r>
        <w:rPr>
          <w:rFonts w:hint="default" w:ascii="Times New Roman" w:hAnsi="Times New Roman" w:eastAsia="仿宋_GB2312" w:cs="Times New Roman"/>
          <w:color w:val="auto"/>
          <w:sz w:val="32"/>
          <w:szCs w:val="32"/>
          <w:lang w:val="en-US" w:eastAsia="zh-CN"/>
        </w:rPr>
        <w:t>月</w:t>
      </w:r>
      <w:r>
        <w:rPr>
          <w:rFonts w:hint="default" w:ascii="Times New Roman" w:hAnsi="Times New Roman" w:cs="Times New Roman"/>
          <w:i w:val="0"/>
          <w:caps w:val="0"/>
          <w:color w:val="auto"/>
          <w:spacing w:val="0"/>
          <w:kern w:val="0"/>
          <w:sz w:val="32"/>
          <w:szCs w:val="32"/>
          <w:shd w:val="clear" w:color="auto" w:fill="FFFFFF"/>
          <w:lang w:val="en-US" w:eastAsia="zh-CN" w:bidi="ar"/>
        </w:rPr>
        <w:t>22</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pPr>
        <w:rPr>
          <w:rFonts w:hint="default" w:ascii="Times New Roman" w:hAnsi="Times New Roman" w:eastAsia="黑体" w:cs="Times New Roman"/>
          <w:lang w:val="en-US" w:eastAsia="zh-CN"/>
        </w:rPr>
      </w:pPr>
      <w:r>
        <w:rPr>
          <w:rFonts w:hint="default" w:ascii="Times New Roman" w:hAnsi="Times New Roman" w:eastAsia="黑体" w:cs="Times New Roman"/>
        </w:rPr>
        <w:t>附</w:t>
      </w:r>
      <w:r>
        <w:rPr>
          <w:rFonts w:hint="default" w:ascii="Times New Roman" w:hAnsi="Times New Roman" w:eastAsia="黑体" w:cs="Times New Roman"/>
          <w:lang w:eastAsia="zh-CN"/>
        </w:rPr>
        <w:t>件</w:t>
      </w:r>
    </w:p>
    <w:p>
      <w:pPr>
        <w:spacing w:line="600" w:lineRule="exact"/>
        <w:ind w:right="21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征收土地及养老保障情况表</w:t>
      </w:r>
    </w:p>
    <w:p>
      <w:pPr>
        <w:spacing w:line="600" w:lineRule="exact"/>
        <w:ind w:right="770"/>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872"/>
        <w:gridCol w:w="3117"/>
        <w:gridCol w:w="1133"/>
        <w:gridCol w:w="2267"/>
        <w:gridCol w:w="1317"/>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989"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被征地单位</w:t>
            </w:r>
          </w:p>
        </w:tc>
        <w:tc>
          <w:tcPr>
            <w:tcW w:w="113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征收土地面积</w:t>
            </w:r>
          </w:p>
        </w:tc>
        <w:tc>
          <w:tcPr>
            <w:tcW w:w="22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其中属于被征地单位留用地面积</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72" w:type="dxa"/>
            <w:vMerge w:val="restart"/>
            <w:tcBorders>
              <w:top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 w:cs="Times New Roman"/>
                <w:kern w:val="0"/>
                <w:sz w:val="24"/>
                <w:szCs w:val="24"/>
                <w:lang w:eastAsia="zh-CN"/>
              </w:rPr>
            </w:pPr>
            <w:r>
              <w:rPr>
                <w:rFonts w:hint="default" w:ascii="Times New Roman" w:hAnsi="Times New Roman" w:eastAsia="仿宋" w:cs="Times New Roman"/>
                <w:kern w:val="0"/>
                <w:sz w:val="24"/>
                <w:szCs w:val="24"/>
                <w:lang w:eastAsia="zh-CN"/>
              </w:rPr>
              <w:t>花山镇</w:t>
            </w:r>
          </w:p>
        </w:tc>
        <w:tc>
          <w:tcPr>
            <w:tcW w:w="31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平山村东村组集体经济组织</w:t>
            </w:r>
          </w:p>
        </w:tc>
        <w:tc>
          <w:tcPr>
            <w:tcW w:w="1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3.2985</w:t>
            </w:r>
          </w:p>
        </w:tc>
        <w:tc>
          <w:tcPr>
            <w:tcW w:w="22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7.06</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72" w:type="dxa"/>
            <w:vMerge w:val="continue"/>
            <w:tcBorders>
              <w:right w:val="single" w:color="auto" w:sz="4" w:space="0"/>
            </w:tcBorders>
            <w:noWrap w:val="0"/>
            <w:vAlign w:val="center"/>
          </w:tcPr>
          <w:p>
            <w:pPr>
              <w:widowControl/>
              <w:spacing w:line="300" w:lineRule="exact"/>
              <w:ind w:left="-38" w:leftChars="-12"/>
              <w:jc w:val="center"/>
              <w:rPr>
                <w:rFonts w:hint="default" w:ascii="Times New Roman" w:hAnsi="Times New Roman" w:eastAsia="仿宋" w:cs="Times New Roman"/>
                <w:kern w:val="0"/>
                <w:sz w:val="24"/>
                <w:szCs w:val="24"/>
              </w:rPr>
            </w:pPr>
          </w:p>
        </w:tc>
        <w:tc>
          <w:tcPr>
            <w:tcW w:w="31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平东村第十二组集体经济组织</w:t>
            </w:r>
          </w:p>
        </w:tc>
        <w:tc>
          <w:tcPr>
            <w:tcW w:w="1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5.6025</w:t>
            </w:r>
          </w:p>
        </w:tc>
        <w:tc>
          <w:tcPr>
            <w:tcW w:w="22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11.99</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872" w:type="dxa"/>
            <w:vMerge w:val="continue"/>
            <w:tcBorders>
              <w:right w:val="single" w:color="auto" w:sz="4" w:space="0"/>
            </w:tcBorders>
            <w:noWrap w:val="0"/>
            <w:vAlign w:val="center"/>
          </w:tcPr>
          <w:p>
            <w:pPr>
              <w:widowControl/>
              <w:spacing w:line="300" w:lineRule="exact"/>
              <w:ind w:left="-38" w:leftChars="-12"/>
              <w:jc w:val="center"/>
              <w:rPr>
                <w:rFonts w:hint="default" w:ascii="Times New Roman" w:hAnsi="Times New Roman" w:eastAsia="仿宋" w:cs="Times New Roman"/>
                <w:kern w:val="0"/>
                <w:sz w:val="24"/>
                <w:szCs w:val="24"/>
              </w:rPr>
            </w:pPr>
          </w:p>
        </w:tc>
        <w:tc>
          <w:tcPr>
            <w:tcW w:w="311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平东村第十三组集体经济组织</w:t>
            </w:r>
          </w:p>
        </w:tc>
        <w:tc>
          <w:tcPr>
            <w:tcW w:w="1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3.009</w:t>
            </w:r>
          </w:p>
        </w:tc>
        <w:tc>
          <w:tcPr>
            <w:tcW w:w="22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6.44</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989"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合计</w:t>
            </w:r>
          </w:p>
        </w:tc>
        <w:tc>
          <w:tcPr>
            <w:tcW w:w="1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11.91</w:t>
            </w:r>
          </w:p>
        </w:tc>
        <w:tc>
          <w:tcPr>
            <w:tcW w:w="22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3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25.49</w:t>
            </w:r>
          </w:p>
        </w:tc>
      </w:tr>
    </w:tbl>
    <w:p>
      <w:pPr>
        <w:spacing w:line="320" w:lineRule="exact"/>
        <w:ind w:right="210"/>
        <w:jc w:val="left"/>
        <w:rPr>
          <w:rFonts w:hint="default" w:ascii="Times New Roman" w:hAnsi="Times New Roman" w:cs="Times New Roman"/>
          <w:sz w:val="24"/>
          <w:szCs w:val="28"/>
        </w:rPr>
      </w:pPr>
      <w:r>
        <w:rPr>
          <w:rFonts w:hint="default" w:ascii="Times New Roman" w:hAnsi="Times New Roman" w:cs="Times New Roman"/>
          <w:sz w:val="24"/>
          <w:szCs w:val="28"/>
          <w:lang w:eastAsia="zh-CN"/>
        </w:rPr>
        <w:t>备注：</w:t>
      </w:r>
      <w:r>
        <w:rPr>
          <w:rFonts w:hint="default" w:ascii="Times New Roman" w:hAnsi="Times New Roman" w:cs="Times New Roman"/>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pPr>
        <w:rPr>
          <w:rFonts w:hint="default" w:ascii="Times New Roman" w:hAnsi="Times New Roman" w:cs="Times New Roman"/>
        </w:rPr>
      </w:pPr>
    </w:p>
    <w:p>
      <w:pPr>
        <w:pStyle w:val="2"/>
        <w:rPr>
          <w:rFonts w:hint="default" w:ascii="Times New Roman" w:hAnsi="Times New Roman" w:cs="Times New Roman"/>
        </w:rPr>
      </w:pPr>
    </w:p>
    <w:sectPr>
      <w:footerReference r:id="rId3" w:type="default"/>
      <w:pgSz w:w="11906" w:h="16838"/>
      <w:pgMar w:top="2098" w:right="1474" w:bottom="1928" w:left="1587"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2F422C"/>
    <w:rsid w:val="0D7F33A2"/>
    <w:rsid w:val="0E3140D7"/>
    <w:rsid w:val="12341E88"/>
    <w:rsid w:val="13714D70"/>
    <w:rsid w:val="15CE692B"/>
    <w:rsid w:val="18A233DB"/>
    <w:rsid w:val="19E21F71"/>
    <w:rsid w:val="1B6337E0"/>
    <w:rsid w:val="1D152E0A"/>
    <w:rsid w:val="20B67655"/>
    <w:rsid w:val="211F0DDA"/>
    <w:rsid w:val="215E252F"/>
    <w:rsid w:val="23141564"/>
    <w:rsid w:val="28702BCD"/>
    <w:rsid w:val="2A015B73"/>
    <w:rsid w:val="2B25039D"/>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7865A20"/>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温安亮</cp:lastModifiedBy>
  <cp:lastPrinted>2022-01-04T07:55:00Z</cp:lastPrinted>
  <dcterms:modified xsi:type="dcterms:W3CDTF">2026-09-28T02:25:57Z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4CE5BDC6EB7748C0A608173B101C0AD0_13</vt:lpwstr>
  </property>
</Properties>
</file>