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245AF">
      <w:pPr>
        <w:adjustRightInd w:val="0"/>
        <w:ind w:left="420" w:leftChars="200"/>
        <w:jc w:val="center"/>
        <w:rPr>
          <w:rFonts w:hint="eastAsia" w:ascii="方正小标宋_GBK" w:hAnsi="方正小标宋_GBK" w:eastAsia="方正小标宋_GBK" w:cs="方正小标宋_GBK"/>
          <w:sz w:val="44"/>
          <w:szCs w:val="44"/>
          <w14:ligatures w14:val="standardContextual"/>
        </w:rPr>
      </w:pPr>
    </w:p>
    <w:p w14:paraId="40C4C522">
      <w:pPr>
        <w:adjustRightInd w:val="0"/>
        <w:ind w:left="420" w:leftChars="200"/>
        <w:jc w:val="center"/>
        <w:rPr>
          <w:rFonts w:hint="eastAsia" w:ascii="方正小标宋_GBK" w:hAnsi="方正小标宋_GBK" w:eastAsia="方正小标宋_GBK" w:cs="方正小标宋_GBK"/>
          <w:sz w:val="44"/>
          <w:szCs w:val="44"/>
          <w14:ligatures w14:val="standardContextual"/>
        </w:rPr>
      </w:pPr>
    </w:p>
    <w:p w14:paraId="34BFA89F">
      <w:pPr>
        <w:adjustRightInd w:val="0"/>
        <w:ind w:left="420" w:leftChars="200"/>
        <w:jc w:val="center"/>
        <w:rPr>
          <w:rFonts w:hint="eastAsia" w:ascii="方正小标宋_GBK" w:hAnsi="方正小标宋_GBK" w:eastAsia="方正小标宋_GBK" w:cs="方正小标宋_GBK"/>
          <w:sz w:val="44"/>
          <w:szCs w:val="44"/>
          <w14:ligatures w14:val="standardContextual"/>
        </w:rPr>
      </w:pPr>
    </w:p>
    <w:p w14:paraId="294056C9">
      <w:pPr>
        <w:adjustRightInd w:val="0"/>
        <w:ind w:left="420" w:leftChars="200"/>
        <w:jc w:val="center"/>
        <w:rPr>
          <w:rFonts w:hint="eastAsia" w:ascii="方正小标宋_GBK" w:hAnsi="方正小标宋_GBK" w:eastAsia="方正小标宋_GBK" w:cs="方正小标宋_GBK"/>
          <w:sz w:val="44"/>
          <w:szCs w:val="44"/>
          <w14:ligatures w14:val="standardContextual"/>
        </w:rPr>
      </w:pPr>
      <w:r>
        <w:rPr>
          <w:rFonts w:hint="eastAsia" w:ascii="方正小标宋_GBK" w:hAnsi="方正小标宋_GBK" w:eastAsia="方正小标宋_GBK" w:cs="方正小标宋_GBK"/>
          <w:sz w:val="44"/>
          <w:szCs w:val="44"/>
          <w14:ligatures w14:val="standardContextual"/>
        </w:rPr>
        <w:t>广州市花都区“十五五”时期</w:t>
      </w:r>
    </w:p>
    <w:p w14:paraId="3CDB0E05">
      <w:pPr>
        <w:adjustRightInd w:val="0"/>
        <w:ind w:left="420" w:leftChars="200"/>
        <w:jc w:val="center"/>
        <w:rPr>
          <w:rFonts w:hint="eastAsia" w:ascii="方正小标宋_GBK" w:hAnsi="方正小标宋_GBK" w:eastAsia="方正小标宋_GBK" w:cs="方正小标宋_GBK"/>
          <w:sz w:val="44"/>
          <w:szCs w:val="44"/>
          <w14:ligatures w14:val="standardContextual"/>
        </w:rPr>
      </w:pPr>
      <w:r>
        <w:rPr>
          <w:rFonts w:hint="eastAsia" w:ascii="方正小标宋_GBK" w:hAnsi="方正小标宋_GBK" w:eastAsia="方正小标宋_GBK" w:cs="方正小标宋_GBK"/>
          <w:sz w:val="44"/>
          <w:szCs w:val="44"/>
          <w14:ligatures w14:val="standardContextual"/>
        </w:rPr>
        <w:t>生态环境保护规划</w:t>
      </w:r>
    </w:p>
    <w:p w14:paraId="1F91663C">
      <w:pPr>
        <w:jc w:val="center"/>
        <w:rPr>
          <w:rFonts w:hint="eastAsia" w:ascii="仿宋" w:hAnsi="仿宋" w:eastAsia="仿宋"/>
          <w:sz w:val="28"/>
          <w:szCs w:val="28"/>
        </w:rPr>
      </w:pPr>
      <w:r>
        <w:rPr>
          <w:rFonts w:hint="eastAsia" w:ascii="仿宋" w:hAnsi="仿宋" w:eastAsia="仿宋"/>
          <w:sz w:val="28"/>
          <w:szCs w:val="28"/>
        </w:rPr>
        <w:t>（征求意见稿）</w:t>
      </w:r>
    </w:p>
    <w:p w14:paraId="385FD4CC">
      <w:pPr>
        <w:jc w:val="center"/>
        <w:rPr>
          <w:rFonts w:hint="eastAsia" w:ascii="仿宋" w:hAnsi="仿宋" w:eastAsia="仿宋"/>
          <w:b/>
          <w:bCs/>
          <w:sz w:val="28"/>
          <w:szCs w:val="28"/>
        </w:rPr>
      </w:pPr>
    </w:p>
    <w:p w14:paraId="7D6460B7">
      <w:pPr>
        <w:jc w:val="center"/>
        <w:rPr>
          <w:rFonts w:hint="eastAsia" w:ascii="仿宋" w:hAnsi="仿宋" w:eastAsia="仿宋"/>
          <w:b/>
          <w:bCs/>
          <w:sz w:val="28"/>
          <w:szCs w:val="28"/>
        </w:rPr>
      </w:pPr>
    </w:p>
    <w:p w14:paraId="1B85CF14">
      <w:pPr>
        <w:jc w:val="center"/>
        <w:rPr>
          <w:rFonts w:hint="eastAsia" w:ascii="仿宋" w:hAnsi="仿宋" w:eastAsia="仿宋"/>
          <w:b/>
          <w:bCs/>
          <w:sz w:val="28"/>
          <w:szCs w:val="28"/>
        </w:rPr>
      </w:pPr>
    </w:p>
    <w:p w14:paraId="28A266AB">
      <w:pPr>
        <w:jc w:val="center"/>
        <w:rPr>
          <w:rFonts w:hint="eastAsia" w:ascii="仿宋" w:hAnsi="仿宋" w:eastAsia="仿宋"/>
          <w:b/>
          <w:bCs/>
          <w:sz w:val="28"/>
          <w:szCs w:val="28"/>
        </w:rPr>
      </w:pPr>
    </w:p>
    <w:p w14:paraId="03A45E4E">
      <w:pPr>
        <w:jc w:val="center"/>
        <w:rPr>
          <w:rFonts w:hint="eastAsia" w:ascii="仿宋" w:hAnsi="仿宋" w:eastAsia="仿宋"/>
          <w:b/>
          <w:bCs/>
          <w:sz w:val="28"/>
          <w:szCs w:val="28"/>
        </w:rPr>
      </w:pPr>
    </w:p>
    <w:p w14:paraId="67E610FA">
      <w:pPr>
        <w:jc w:val="center"/>
        <w:rPr>
          <w:rFonts w:hint="eastAsia" w:ascii="仿宋" w:hAnsi="仿宋" w:eastAsia="仿宋"/>
          <w:b/>
          <w:bCs/>
          <w:sz w:val="28"/>
          <w:szCs w:val="28"/>
        </w:rPr>
      </w:pPr>
    </w:p>
    <w:p w14:paraId="2EA557A2">
      <w:pPr>
        <w:jc w:val="center"/>
        <w:rPr>
          <w:rFonts w:hint="eastAsia" w:ascii="仿宋" w:hAnsi="仿宋" w:eastAsia="仿宋"/>
          <w:b/>
          <w:bCs/>
          <w:sz w:val="28"/>
          <w:szCs w:val="28"/>
        </w:rPr>
      </w:pPr>
    </w:p>
    <w:p w14:paraId="2FA80AFE">
      <w:pPr>
        <w:jc w:val="center"/>
        <w:rPr>
          <w:rFonts w:hint="eastAsia" w:ascii="仿宋" w:hAnsi="仿宋" w:eastAsia="仿宋"/>
          <w:b/>
          <w:bCs/>
          <w:sz w:val="28"/>
          <w:szCs w:val="28"/>
        </w:rPr>
      </w:pPr>
    </w:p>
    <w:p w14:paraId="16AC51EB">
      <w:pPr>
        <w:jc w:val="center"/>
        <w:rPr>
          <w:rFonts w:hint="eastAsia" w:ascii="仿宋" w:hAnsi="仿宋" w:eastAsia="仿宋"/>
          <w:b/>
          <w:bCs/>
          <w:sz w:val="28"/>
          <w:szCs w:val="28"/>
        </w:rPr>
      </w:pPr>
    </w:p>
    <w:p w14:paraId="6DD37A2D">
      <w:pPr>
        <w:jc w:val="center"/>
        <w:rPr>
          <w:rFonts w:ascii="仿宋" w:hAnsi="仿宋" w:eastAsia="仿宋"/>
          <w:b/>
          <w:bCs/>
          <w:sz w:val="28"/>
          <w:szCs w:val="28"/>
        </w:rPr>
      </w:pPr>
    </w:p>
    <w:p w14:paraId="45376487">
      <w:pPr>
        <w:jc w:val="center"/>
        <w:rPr>
          <w:rFonts w:hint="eastAsia" w:ascii="仿宋" w:hAnsi="仿宋" w:eastAsia="仿宋"/>
          <w:b/>
          <w:bCs/>
          <w:sz w:val="28"/>
          <w:szCs w:val="28"/>
        </w:rPr>
      </w:pPr>
    </w:p>
    <w:p w14:paraId="43919CE3">
      <w:pPr>
        <w:jc w:val="center"/>
        <w:rPr>
          <w:rFonts w:hint="eastAsia" w:ascii="仿宋" w:hAnsi="仿宋" w:eastAsia="仿宋"/>
          <w:b/>
          <w:bCs/>
          <w:sz w:val="28"/>
          <w:szCs w:val="28"/>
        </w:rPr>
      </w:pPr>
      <w:r>
        <w:rPr>
          <w:rFonts w:hint="eastAsia" w:ascii="仿宋" w:hAnsi="仿宋" w:eastAsia="仿宋"/>
          <w:b/>
          <w:bCs/>
          <w:sz w:val="28"/>
          <w:szCs w:val="28"/>
        </w:rPr>
        <w:t>广州市生态环境局花都分局</w:t>
      </w:r>
    </w:p>
    <w:p w14:paraId="28C7E934">
      <w:pPr>
        <w:ind w:left="420"/>
        <w:jc w:val="center"/>
        <w:rPr>
          <w:rFonts w:hint="eastAsia" w:ascii="仿宋" w:hAnsi="仿宋" w:eastAsia="仿宋"/>
          <w:b/>
          <w:bCs/>
          <w:sz w:val="28"/>
          <w:szCs w:val="28"/>
        </w:rPr>
      </w:pPr>
      <w:bookmarkStart w:id="0" w:name="_Hlk137045383"/>
      <w:r>
        <w:rPr>
          <w:rFonts w:ascii="Times New Roman" w:hAnsi="Times New Roman" w:eastAsia="楷体" w:cs="Times New Roman"/>
          <w:sz w:val="32"/>
          <w:szCs w:val="32"/>
        </w:rPr>
        <w:t>202</w:t>
      </w:r>
      <w:r>
        <w:rPr>
          <w:rFonts w:hint="eastAsia" w:ascii="Times New Roman" w:hAnsi="Times New Roman" w:eastAsia="楷体" w:cs="Times New Roman"/>
          <w:sz w:val="32"/>
          <w:szCs w:val="32"/>
        </w:rPr>
        <w:t>6</w:t>
      </w:r>
      <w:r>
        <w:rPr>
          <w:rFonts w:ascii="Times New Roman" w:hAnsi="Times New Roman" w:eastAsia="楷体" w:cs="Times New Roman"/>
          <w:sz w:val="32"/>
          <w:szCs w:val="32"/>
        </w:rPr>
        <w:t>年</w:t>
      </w:r>
      <w:r>
        <w:rPr>
          <w:rFonts w:hint="eastAsia" w:ascii="Times New Roman" w:hAnsi="Times New Roman" w:eastAsia="楷体" w:cs="Times New Roman"/>
          <w:sz w:val="32"/>
          <w:szCs w:val="32"/>
        </w:rPr>
        <w:t>9</w:t>
      </w:r>
      <w:r>
        <w:rPr>
          <w:rFonts w:ascii="Times New Roman" w:hAnsi="Times New Roman" w:eastAsia="楷体" w:cs="Times New Roman"/>
          <w:sz w:val="32"/>
          <w:szCs w:val="32"/>
        </w:rPr>
        <w:t>月</w:t>
      </w:r>
      <w:bookmarkEnd w:id="0"/>
    </w:p>
    <w:sdt>
      <w:sdtPr>
        <w:rPr>
          <w:rFonts w:asciiTheme="minorHAnsi" w:hAnsiTheme="minorHAnsi" w:eastAsiaTheme="minorEastAsia" w:cstheme="minorBidi"/>
          <w:color w:val="auto"/>
          <w:kern w:val="2"/>
          <w:sz w:val="21"/>
          <w:szCs w:val="22"/>
          <w:lang w:val="zh-CN"/>
        </w:rPr>
        <w:id w:val="-1"/>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319D2353">
          <w:pPr>
            <w:pStyle w:val="49"/>
            <w:jc w:val="center"/>
            <w:rPr>
              <w:rFonts w:hint="eastAsia"/>
              <w:b/>
              <w:bCs/>
              <w:color w:val="auto"/>
            </w:rPr>
          </w:pPr>
          <w:bookmarkStart w:id="1" w:name="_Toc200721426"/>
          <w:r>
            <w:rPr>
              <w:b/>
              <w:bCs/>
              <w:color w:val="auto"/>
              <w:lang w:val="zh-CN"/>
            </w:rPr>
            <w:t>目录</w:t>
          </w:r>
        </w:p>
        <w:p w14:paraId="4C278DFF">
          <w:pPr>
            <w:pStyle w:val="18"/>
            <w:rPr>
              <w:rFonts w:hint="eastAsia"/>
              <w:sz w:val="22"/>
              <w:szCs w:val="24"/>
              <w14:ligatures w14:val="standardContextual"/>
            </w:rPr>
          </w:pPr>
          <w:r>
            <w:rPr>
              <w:sz w:val="24"/>
              <w:szCs w:val="28"/>
            </w:rPr>
            <w:fldChar w:fldCharType="begin"/>
          </w:r>
          <w:r>
            <w:rPr>
              <w:sz w:val="24"/>
              <w:szCs w:val="28"/>
            </w:rPr>
            <w:instrText xml:space="preserve"> TOC \o "1-3" \h \z \u </w:instrText>
          </w:r>
          <w:r>
            <w:rPr>
              <w:sz w:val="24"/>
              <w:szCs w:val="28"/>
            </w:rPr>
            <w:fldChar w:fldCharType="separate"/>
          </w:r>
          <w:r>
            <w:fldChar w:fldCharType="begin"/>
          </w:r>
          <w:r>
            <w:instrText xml:space="preserve"> HYPERLINK \l "_Toc240879621" </w:instrText>
          </w:r>
          <w:r>
            <w:fldChar w:fldCharType="separate"/>
          </w:r>
          <w:r>
            <w:rPr>
              <w:rStyle w:val="24"/>
              <w:rFonts w:ascii="Times New Roman" w:hAnsi="Times New Roman" w:eastAsia="黑体" w:cs="Times New Roman"/>
              <w:bCs/>
            </w:rPr>
            <w:t>前言</w:t>
          </w:r>
          <w:r>
            <w:rPr>
              <w:rFonts w:hint="eastAsia"/>
            </w:rPr>
            <w:tab/>
          </w:r>
          <w:r>
            <w:rPr>
              <w:rFonts w:hint="eastAsia"/>
            </w:rPr>
            <w:fldChar w:fldCharType="begin"/>
          </w:r>
          <w:r>
            <w:rPr>
              <w:rFonts w:hint="eastAsia"/>
            </w:rPr>
            <w:instrText xml:space="preserve"> </w:instrText>
          </w:r>
          <w:r>
            <w:instrText xml:space="preserve">PAGEREF _Toc240879621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247F5BAF">
          <w:pPr>
            <w:pStyle w:val="18"/>
            <w:rPr>
              <w:rFonts w:hint="eastAsia"/>
              <w:sz w:val="22"/>
              <w:szCs w:val="24"/>
              <w14:ligatures w14:val="standardContextual"/>
            </w:rPr>
          </w:pPr>
          <w:r>
            <w:fldChar w:fldCharType="begin"/>
          </w:r>
          <w:r>
            <w:instrText xml:space="preserve"> HYPERLINK \l "_Toc240879622" </w:instrText>
          </w:r>
          <w:r>
            <w:fldChar w:fldCharType="separate"/>
          </w:r>
          <w:r>
            <w:rPr>
              <w:rStyle w:val="24"/>
              <w:rFonts w:ascii="Times New Roman" w:hAnsi="Times New Roman" w:eastAsia="黑体" w:cs="Times New Roman"/>
              <w:bCs/>
            </w:rPr>
            <w:t>第一章 工作基础</w:t>
          </w:r>
          <w:r>
            <w:rPr>
              <w:rFonts w:hint="eastAsia"/>
            </w:rPr>
            <w:tab/>
          </w:r>
          <w:r>
            <w:rPr>
              <w:rFonts w:hint="eastAsia"/>
            </w:rPr>
            <w:fldChar w:fldCharType="begin"/>
          </w:r>
          <w:r>
            <w:rPr>
              <w:rFonts w:hint="eastAsia"/>
            </w:rPr>
            <w:instrText xml:space="preserve"> </w:instrText>
          </w:r>
          <w:r>
            <w:instrText xml:space="preserve">PAGEREF _Toc240879622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44ED1F91">
          <w:pPr>
            <w:pStyle w:val="18"/>
            <w:rPr>
              <w:rFonts w:hint="eastAsia"/>
              <w:sz w:val="22"/>
              <w:szCs w:val="24"/>
              <w14:ligatures w14:val="standardContextual"/>
            </w:rPr>
          </w:pPr>
          <w:r>
            <w:fldChar w:fldCharType="begin"/>
          </w:r>
          <w:r>
            <w:instrText xml:space="preserve"> HYPERLINK \l "_Toc240879623" </w:instrText>
          </w:r>
          <w:r>
            <w:fldChar w:fldCharType="separate"/>
          </w:r>
          <w:r>
            <w:rPr>
              <w:rStyle w:val="24"/>
              <w:rFonts w:ascii="Times New Roman" w:hAnsi="Times New Roman" w:eastAsia="楷体" w:cs="Times New Roman"/>
              <w:bCs/>
              <w:kern w:val="44"/>
            </w:rPr>
            <w:t>第一节 “十四五”时期取得的工作成效</w:t>
          </w:r>
          <w:r>
            <w:rPr>
              <w:rFonts w:hint="eastAsia"/>
            </w:rPr>
            <w:tab/>
          </w:r>
          <w:r>
            <w:rPr>
              <w:rFonts w:hint="eastAsia"/>
            </w:rPr>
            <w:fldChar w:fldCharType="begin"/>
          </w:r>
          <w:r>
            <w:rPr>
              <w:rFonts w:hint="eastAsia"/>
            </w:rPr>
            <w:instrText xml:space="preserve"> </w:instrText>
          </w:r>
          <w:r>
            <w:instrText xml:space="preserve">PAGEREF _Toc240879623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14:paraId="57E0D318">
          <w:pPr>
            <w:pStyle w:val="18"/>
            <w:rPr>
              <w:rFonts w:hint="eastAsia"/>
              <w:sz w:val="22"/>
              <w:szCs w:val="24"/>
              <w14:ligatures w14:val="standardContextual"/>
            </w:rPr>
          </w:pPr>
          <w:r>
            <w:fldChar w:fldCharType="begin"/>
          </w:r>
          <w:r>
            <w:instrText xml:space="preserve"> HYPERLINK \l "_Toc240879624" </w:instrText>
          </w:r>
          <w:r>
            <w:fldChar w:fldCharType="separate"/>
          </w:r>
          <w:r>
            <w:rPr>
              <w:rStyle w:val="24"/>
              <w:rFonts w:ascii="Times New Roman" w:hAnsi="Times New Roman" w:eastAsia="楷体" w:cs="Times New Roman"/>
              <w:bCs/>
              <w:kern w:val="44"/>
            </w:rPr>
            <w:t>第二节 “十五五”时期面临的形势与挑战</w:t>
          </w:r>
          <w:r>
            <w:rPr>
              <w:rFonts w:hint="eastAsia"/>
            </w:rPr>
            <w:tab/>
          </w:r>
          <w:r>
            <w:rPr>
              <w:rFonts w:hint="eastAsia"/>
            </w:rPr>
            <w:fldChar w:fldCharType="begin"/>
          </w:r>
          <w:r>
            <w:rPr>
              <w:rFonts w:hint="eastAsia"/>
            </w:rPr>
            <w:instrText xml:space="preserve"> </w:instrText>
          </w:r>
          <w:r>
            <w:instrText xml:space="preserve">PAGEREF _Toc240879624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670F1C41">
          <w:pPr>
            <w:pStyle w:val="18"/>
            <w:rPr>
              <w:rFonts w:hint="eastAsia"/>
              <w:sz w:val="22"/>
              <w:szCs w:val="24"/>
              <w14:ligatures w14:val="standardContextual"/>
            </w:rPr>
          </w:pPr>
          <w:r>
            <w:fldChar w:fldCharType="begin"/>
          </w:r>
          <w:r>
            <w:instrText xml:space="preserve"> HYPERLINK \l "_Toc240879625" </w:instrText>
          </w:r>
          <w:r>
            <w:fldChar w:fldCharType="separate"/>
          </w:r>
          <w:r>
            <w:rPr>
              <w:rStyle w:val="24"/>
              <w:rFonts w:ascii="Times New Roman" w:hAnsi="Times New Roman" w:eastAsia="黑体" w:cs="Times New Roman"/>
              <w:bCs/>
            </w:rPr>
            <w:t>第二章 总体要求</w:t>
          </w:r>
          <w:r>
            <w:rPr>
              <w:rFonts w:hint="eastAsia"/>
            </w:rPr>
            <w:tab/>
          </w:r>
          <w:r>
            <w:rPr>
              <w:rFonts w:hint="eastAsia"/>
            </w:rPr>
            <w:fldChar w:fldCharType="begin"/>
          </w:r>
          <w:r>
            <w:rPr>
              <w:rFonts w:hint="eastAsia"/>
            </w:rPr>
            <w:instrText xml:space="preserve"> </w:instrText>
          </w:r>
          <w:r>
            <w:instrText xml:space="preserve">PAGEREF _Toc240879625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49BBCFF7">
          <w:pPr>
            <w:pStyle w:val="18"/>
            <w:rPr>
              <w:rFonts w:hint="eastAsia"/>
              <w:sz w:val="22"/>
              <w:szCs w:val="24"/>
              <w14:ligatures w14:val="standardContextual"/>
            </w:rPr>
          </w:pPr>
          <w:r>
            <w:fldChar w:fldCharType="begin"/>
          </w:r>
          <w:r>
            <w:instrText xml:space="preserve"> HYPERLINK \l "_Toc240879626" </w:instrText>
          </w:r>
          <w:r>
            <w:fldChar w:fldCharType="separate"/>
          </w:r>
          <w:r>
            <w:rPr>
              <w:rStyle w:val="24"/>
              <w:rFonts w:ascii="Times New Roman" w:hAnsi="Times New Roman" w:eastAsia="楷体" w:cs="Times New Roman"/>
              <w:bCs/>
              <w:kern w:val="44"/>
            </w:rPr>
            <w:t>第一节 指导思想</w:t>
          </w:r>
          <w:r>
            <w:rPr>
              <w:rFonts w:hint="eastAsia"/>
            </w:rPr>
            <w:tab/>
          </w:r>
          <w:r>
            <w:rPr>
              <w:rFonts w:hint="eastAsia"/>
            </w:rPr>
            <w:fldChar w:fldCharType="begin"/>
          </w:r>
          <w:r>
            <w:rPr>
              <w:rFonts w:hint="eastAsia"/>
            </w:rPr>
            <w:instrText xml:space="preserve"> </w:instrText>
          </w:r>
          <w:r>
            <w:instrText xml:space="preserve">PAGEREF _Toc240879626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45261537">
          <w:pPr>
            <w:pStyle w:val="18"/>
            <w:rPr>
              <w:rFonts w:hint="eastAsia"/>
              <w:sz w:val="22"/>
              <w:szCs w:val="24"/>
              <w14:ligatures w14:val="standardContextual"/>
            </w:rPr>
          </w:pPr>
          <w:r>
            <w:fldChar w:fldCharType="begin"/>
          </w:r>
          <w:r>
            <w:instrText xml:space="preserve"> HYPERLINK \l "_Toc240879627" </w:instrText>
          </w:r>
          <w:r>
            <w:fldChar w:fldCharType="separate"/>
          </w:r>
          <w:r>
            <w:rPr>
              <w:rStyle w:val="24"/>
              <w:rFonts w:ascii="Times New Roman" w:hAnsi="Times New Roman" w:eastAsia="楷体" w:cs="Times New Roman"/>
              <w:bCs/>
              <w:kern w:val="44"/>
            </w:rPr>
            <w:t>第二节 规划目标</w:t>
          </w:r>
          <w:r>
            <w:rPr>
              <w:rFonts w:hint="eastAsia"/>
            </w:rPr>
            <w:tab/>
          </w:r>
          <w:r>
            <w:rPr>
              <w:rFonts w:hint="eastAsia"/>
            </w:rPr>
            <w:fldChar w:fldCharType="begin"/>
          </w:r>
          <w:r>
            <w:rPr>
              <w:rFonts w:hint="eastAsia"/>
            </w:rPr>
            <w:instrText xml:space="preserve"> </w:instrText>
          </w:r>
          <w:r>
            <w:instrText xml:space="preserve">PAGEREF _Toc240879627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14:paraId="6108BAB1">
          <w:pPr>
            <w:pStyle w:val="18"/>
            <w:rPr>
              <w:rFonts w:hint="eastAsia"/>
              <w:sz w:val="22"/>
              <w:szCs w:val="24"/>
              <w14:ligatures w14:val="standardContextual"/>
            </w:rPr>
          </w:pPr>
          <w:r>
            <w:fldChar w:fldCharType="begin"/>
          </w:r>
          <w:r>
            <w:instrText xml:space="preserve"> HYPERLINK \l "_Toc240879628" </w:instrText>
          </w:r>
          <w:r>
            <w:fldChar w:fldCharType="separate"/>
          </w:r>
          <w:r>
            <w:rPr>
              <w:rStyle w:val="24"/>
              <w:rFonts w:ascii="Times New Roman" w:hAnsi="Times New Roman" w:eastAsia="楷体" w:cs="Times New Roman"/>
              <w:bCs/>
              <w:kern w:val="44"/>
            </w:rPr>
            <w:t>第三节 指标体系</w:t>
          </w:r>
          <w:r>
            <w:rPr>
              <w:rFonts w:hint="eastAsia"/>
            </w:rPr>
            <w:tab/>
          </w:r>
          <w:r>
            <w:rPr>
              <w:rFonts w:hint="eastAsia"/>
            </w:rPr>
            <w:fldChar w:fldCharType="begin"/>
          </w:r>
          <w:r>
            <w:rPr>
              <w:rFonts w:hint="eastAsia"/>
            </w:rPr>
            <w:instrText xml:space="preserve"> </w:instrText>
          </w:r>
          <w:r>
            <w:instrText xml:space="preserve">PAGEREF _Toc240879628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14:paraId="26EEFEBB">
          <w:pPr>
            <w:pStyle w:val="18"/>
            <w:rPr>
              <w:rFonts w:hint="eastAsia"/>
              <w:sz w:val="22"/>
              <w:szCs w:val="24"/>
              <w14:ligatures w14:val="standardContextual"/>
            </w:rPr>
          </w:pPr>
          <w:r>
            <w:fldChar w:fldCharType="begin"/>
          </w:r>
          <w:r>
            <w:instrText xml:space="preserve"> HYPERLINK \l "_Toc240879629" </w:instrText>
          </w:r>
          <w:r>
            <w:fldChar w:fldCharType="separate"/>
          </w:r>
          <w:r>
            <w:rPr>
              <w:rStyle w:val="24"/>
              <w:rFonts w:ascii="Times New Roman" w:hAnsi="Times New Roman" w:eastAsia="黑体" w:cs="Times New Roman"/>
              <w:bCs/>
            </w:rPr>
            <w:t>第三章 推动绿色低碳高质量发展</w:t>
          </w:r>
          <w:r>
            <w:rPr>
              <w:rFonts w:hint="eastAsia"/>
            </w:rPr>
            <w:tab/>
          </w:r>
          <w:r>
            <w:rPr>
              <w:rFonts w:hint="eastAsia"/>
            </w:rPr>
            <w:fldChar w:fldCharType="begin"/>
          </w:r>
          <w:r>
            <w:rPr>
              <w:rFonts w:hint="eastAsia"/>
            </w:rPr>
            <w:instrText xml:space="preserve"> </w:instrText>
          </w:r>
          <w:r>
            <w:instrText xml:space="preserve">PAGEREF _Toc240879629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39AF0B06">
          <w:pPr>
            <w:pStyle w:val="18"/>
            <w:rPr>
              <w:rFonts w:hint="eastAsia"/>
              <w:sz w:val="22"/>
              <w:szCs w:val="24"/>
              <w14:ligatures w14:val="standardContextual"/>
            </w:rPr>
          </w:pPr>
          <w:r>
            <w:fldChar w:fldCharType="begin"/>
          </w:r>
          <w:r>
            <w:instrText xml:space="preserve"> HYPERLINK \l "_Toc240879630" </w:instrText>
          </w:r>
          <w:r>
            <w:fldChar w:fldCharType="separate"/>
          </w:r>
          <w:r>
            <w:rPr>
              <w:rStyle w:val="24"/>
              <w:rFonts w:ascii="Times New Roman" w:hAnsi="Times New Roman" w:eastAsia="楷体" w:cs="Times New Roman"/>
              <w:bCs/>
              <w:kern w:val="44"/>
            </w:rPr>
            <w:t>第一节 稳妥推进碳达峰碳中和</w:t>
          </w:r>
          <w:r>
            <w:rPr>
              <w:rFonts w:hint="eastAsia"/>
            </w:rPr>
            <w:tab/>
          </w:r>
          <w:r>
            <w:rPr>
              <w:rFonts w:hint="eastAsia"/>
            </w:rPr>
            <w:fldChar w:fldCharType="begin"/>
          </w:r>
          <w:r>
            <w:rPr>
              <w:rFonts w:hint="eastAsia"/>
            </w:rPr>
            <w:instrText xml:space="preserve"> </w:instrText>
          </w:r>
          <w:r>
            <w:instrText xml:space="preserve">PAGEREF _Toc240879630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0B46BCC6">
          <w:pPr>
            <w:pStyle w:val="18"/>
            <w:rPr>
              <w:rFonts w:hint="eastAsia"/>
              <w:sz w:val="22"/>
              <w:szCs w:val="24"/>
              <w14:ligatures w14:val="standardContextual"/>
            </w:rPr>
          </w:pPr>
          <w:r>
            <w:fldChar w:fldCharType="begin"/>
          </w:r>
          <w:r>
            <w:instrText xml:space="preserve"> HYPERLINK \l "_Toc240879631" </w:instrText>
          </w:r>
          <w:r>
            <w:fldChar w:fldCharType="separate"/>
          </w:r>
          <w:r>
            <w:rPr>
              <w:rStyle w:val="24"/>
              <w:rFonts w:ascii="Times New Roman" w:hAnsi="Times New Roman" w:eastAsia="楷体" w:cs="Times New Roman"/>
              <w:bCs/>
              <w:kern w:val="44"/>
            </w:rPr>
            <w:t>第二节 推动产业绿色低碳发展</w:t>
          </w:r>
          <w:r>
            <w:rPr>
              <w:rFonts w:hint="eastAsia"/>
            </w:rPr>
            <w:tab/>
          </w:r>
          <w:r>
            <w:rPr>
              <w:rFonts w:hint="eastAsia"/>
            </w:rPr>
            <w:fldChar w:fldCharType="begin"/>
          </w:r>
          <w:r>
            <w:rPr>
              <w:rFonts w:hint="eastAsia"/>
            </w:rPr>
            <w:instrText xml:space="preserve"> </w:instrText>
          </w:r>
          <w:r>
            <w:instrText xml:space="preserve">PAGEREF _Toc240879631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33C4B85E">
          <w:pPr>
            <w:pStyle w:val="18"/>
            <w:rPr>
              <w:rFonts w:hint="eastAsia"/>
              <w:sz w:val="22"/>
              <w:szCs w:val="24"/>
              <w14:ligatures w14:val="standardContextual"/>
            </w:rPr>
          </w:pPr>
          <w:r>
            <w:fldChar w:fldCharType="begin"/>
          </w:r>
          <w:r>
            <w:instrText xml:space="preserve"> HYPERLINK \l "_Toc240879632" </w:instrText>
          </w:r>
          <w:r>
            <w:fldChar w:fldCharType="separate"/>
          </w:r>
          <w:r>
            <w:rPr>
              <w:rStyle w:val="24"/>
              <w:rFonts w:ascii="Times New Roman" w:hAnsi="Times New Roman" w:eastAsia="楷体" w:cs="Times New Roman"/>
              <w:bCs/>
              <w:kern w:val="44"/>
            </w:rPr>
            <w:t>第三节 强化能源资源集约节约利用</w:t>
          </w:r>
          <w:r>
            <w:rPr>
              <w:rFonts w:hint="eastAsia"/>
            </w:rPr>
            <w:tab/>
          </w:r>
          <w:r>
            <w:rPr>
              <w:rFonts w:hint="eastAsia"/>
            </w:rPr>
            <w:fldChar w:fldCharType="begin"/>
          </w:r>
          <w:r>
            <w:rPr>
              <w:rFonts w:hint="eastAsia"/>
            </w:rPr>
            <w:instrText xml:space="preserve"> </w:instrText>
          </w:r>
          <w:r>
            <w:instrText xml:space="preserve">PAGEREF _Toc240879632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1CE1D015">
          <w:pPr>
            <w:pStyle w:val="18"/>
            <w:rPr>
              <w:rFonts w:hint="eastAsia"/>
              <w:sz w:val="22"/>
              <w:szCs w:val="24"/>
              <w14:ligatures w14:val="standardContextual"/>
            </w:rPr>
          </w:pPr>
          <w:r>
            <w:fldChar w:fldCharType="begin"/>
          </w:r>
          <w:r>
            <w:instrText xml:space="preserve"> HYPERLINK \l "_Toc240879633" </w:instrText>
          </w:r>
          <w:r>
            <w:fldChar w:fldCharType="separate"/>
          </w:r>
          <w:r>
            <w:rPr>
              <w:rStyle w:val="24"/>
              <w:rFonts w:ascii="Times New Roman" w:hAnsi="Times New Roman" w:eastAsia="楷体" w:cs="Times New Roman"/>
              <w:bCs/>
              <w:kern w:val="44"/>
            </w:rPr>
            <w:t>第四节 加快重点领域低碳转型</w:t>
          </w:r>
          <w:r>
            <w:rPr>
              <w:rFonts w:hint="eastAsia"/>
            </w:rPr>
            <w:tab/>
          </w:r>
          <w:r>
            <w:rPr>
              <w:rFonts w:hint="eastAsia"/>
            </w:rPr>
            <w:fldChar w:fldCharType="begin"/>
          </w:r>
          <w:r>
            <w:rPr>
              <w:rFonts w:hint="eastAsia"/>
            </w:rPr>
            <w:instrText xml:space="preserve"> </w:instrText>
          </w:r>
          <w:r>
            <w:instrText xml:space="preserve">PAGEREF _Toc240879633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1DF8789E">
          <w:pPr>
            <w:pStyle w:val="18"/>
            <w:rPr>
              <w:rFonts w:hint="eastAsia"/>
              <w:sz w:val="22"/>
              <w:szCs w:val="24"/>
              <w14:ligatures w14:val="standardContextual"/>
            </w:rPr>
          </w:pPr>
          <w:r>
            <w:fldChar w:fldCharType="begin"/>
          </w:r>
          <w:r>
            <w:instrText xml:space="preserve"> HYPERLINK \l "_Toc240879634" </w:instrText>
          </w:r>
          <w:r>
            <w:fldChar w:fldCharType="separate"/>
          </w:r>
          <w:r>
            <w:rPr>
              <w:rStyle w:val="24"/>
              <w:rFonts w:ascii="Times New Roman" w:hAnsi="Times New Roman" w:eastAsia="黑体" w:cs="Times New Roman"/>
              <w:bCs/>
            </w:rPr>
            <w:t>第四章 提升城区生态环境品质</w:t>
          </w:r>
          <w:r>
            <w:rPr>
              <w:rFonts w:hint="eastAsia"/>
            </w:rPr>
            <w:tab/>
          </w:r>
          <w:r>
            <w:rPr>
              <w:rFonts w:hint="eastAsia"/>
            </w:rPr>
            <w:fldChar w:fldCharType="begin"/>
          </w:r>
          <w:r>
            <w:rPr>
              <w:rFonts w:hint="eastAsia"/>
            </w:rPr>
            <w:instrText xml:space="preserve"> </w:instrText>
          </w:r>
          <w:r>
            <w:instrText xml:space="preserve">PAGEREF _Toc240879634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603807B5">
          <w:pPr>
            <w:pStyle w:val="18"/>
            <w:rPr>
              <w:rFonts w:hint="eastAsia"/>
              <w:sz w:val="22"/>
              <w:szCs w:val="24"/>
              <w14:ligatures w14:val="standardContextual"/>
            </w:rPr>
          </w:pPr>
          <w:r>
            <w:fldChar w:fldCharType="begin"/>
          </w:r>
          <w:r>
            <w:instrText xml:space="preserve"> HYPERLINK \l "_Toc240879635" </w:instrText>
          </w:r>
          <w:r>
            <w:fldChar w:fldCharType="separate"/>
          </w:r>
          <w:r>
            <w:rPr>
              <w:rStyle w:val="24"/>
              <w:rFonts w:ascii="Times New Roman" w:hAnsi="Times New Roman" w:eastAsia="楷体" w:cs="Times New Roman"/>
              <w:bCs/>
              <w:kern w:val="44"/>
            </w:rPr>
            <w:t>第一节 守护空气常新美丽蓝天</w:t>
          </w:r>
          <w:r>
            <w:rPr>
              <w:rFonts w:hint="eastAsia"/>
            </w:rPr>
            <w:tab/>
          </w:r>
          <w:r>
            <w:rPr>
              <w:rFonts w:hint="eastAsia"/>
            </w:rPr>
            <w:fldChar w:fldCharType="begin"/>
          </w:r>
          <w:r>
            <w:rPr>
              <w:rFonts w:hint="eastAsia"/>
            </w:rPr>
            <w:instrText xml:space="preserve"> </w:instrText>
          </w:r>
          <w:r>
            <w:instrText xml:space="preserve">PAGEREF _Toc240879635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608CA170">
          <w:pPr>
            <w:pStyle w:val="18"/>
            <w:rPr>
              <w:rFonts w:hint="eastAsia"/>
              <w:sz w:val="22"/>
              <w:szCs w:val="24"/>
              <w14:ligatures w14:val="standardContextual"/>
            </w:rPr>
          </w:pPr>
          <w:r>
            <w:fldChar w:fldCharType="begin"/>
          </w:r>
          <w:r>
            <w:instrText xml:space="preserve"> HYPERLINK \l "_Toc240879636" </w:instrText>
          </w:r>
          <w:r>
            <w:fldChar w:fldCharType="separate"/>
          </w:r>
          <w:r>
            <w:rPr>
              <w:rStyle w:val="24"/>
              <w:rFonts w:ascii="Times New Roman" w:hAnsi="Times New Roman" w:eastAsia="楷体" w:cs="Times New Roman"/>
              <w:bCs/>
              <w:kern w:val="44"/>
            </w:rPr>
            <w:t>第二节 建设清洁活力美丽河湖</w:t>
          </w:r>
          <w:r>
            <w:rPr>
              <w:rFonts w:hint="eastAsia"/>
            </w:rPr>
            <w:tab/>
          </w:r>
          <w:r>
            <w:rPr>
              <w:rFonts w:hint="eastAsia"/>
            </w:rPr>
            <w:fldChar w:fldCharType="begin"/>
          </w:r>
          <w:r>
            <w:rPr>
              <w:rFonts w:hint="eastAsia"/>
            </w:rPr>
            <w:instrText xml:space="preserve"> </w:instrText>
          </w:r>
          <w:r>
            <w:instrText xml:space="preserve">PAGEREF _Toc240879636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14:paraId="0E1A3B1A">
          <w:pPr>
            <w:pStyle w:val="18"/>
            <w:rPr>
              <w:rFonts w:hint="eastAsia"/>
              <w:sz w:val="22"/>
              <w:szCs w:val="24"/>
              <w14:ligatures w14:val="standardContextual"/>
            </w:rPr>
          </w:pPr>
          <w:r>
            <w:fldChar w:fldCharType="begin"/>
          </w:r>
          <w:r>
            <w:instrText xml:space="preserve"> HYPERLINK \l "_Toc240879637" </w:instrText>
          </w:r>
          <w:r>
            <w:fldChar w:fldCharType="separate"/>
          </w:r>
          <w:r>
            <w:rPr>
              <w:rStyle w:val="24"/>
              <w:rFonts w:ascii="Times New Roman" w:hAnsi="Times New Roman" w:eastAsia="楷体" w:cs="Times New Roman"/>
              <w:bCs/>
              <w:kern w:val="44"/>
            </w:rPr>
            <w:t>第三节 协同推进土壤与地下水保护</w:t>
          </w:r>
          <w:r>
            <w:rPr>
              <w:rFonts w:hint="eastAsia"/>
            </w:rPr>
            <w:tab/>
          </w:r>
          <w:r>
            <w:rPr>
              <w:rFonts w:hint="eastAsia"/>
            </w:rPr>
            <w:fldChar w:fldCharType="begin"/>
          </w:r>
          <w:r>
            <w:rPr>
              <w:rFonts w:hint="eastAsia"/>
            </w:rPr>
            <w:instrText xml:space="preserve"> </w:instrText>
          </w:r>
          <w:r>
            <w:instrText xml:space="preserve">PAGEREF _Toc240879637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1F5A2020">
          <w:pPr>
            <w:pStyle w:val="18"/>
            <w:rPr>
              <w:rFonts w:hint="eastAsia"/>
              <w:sz w:val="22"/>
              <w:szCs w:val="24"/>
              <w14:ligatures w14:val="standardContextual"/>
            </w:rPr>
          </w:pPr>
          <w:r>
            <w:fldChar w:fldCharType="begin"/>
          </w:r>
          <w:r>
            <w:instrText xml:space="preserve"> HYPERLINK \l "_Toc240879638" </w:instrText>
          </w:r>
          <w:r>
            <w:fldChar w:fldCharType="separate"/>
          </w:r>
          <w:r>
            <w:rPr>
              <w:rStyle w:val="24"/>
              <w:rFonts w:ascii="Times New Roman" w:hAnsi="Times New Roman" w:eastAsia="楷体" w:cs="Times New Roman"/>
              <w:bCs/>
              <w:kern w:val="44"/>
            </w:rPr>
            <w:t>第四节 深入推进固体废物和新污染物治理</w:t>
          </w:r>
          <w:r>
            <w:rPr>
              <w:rFonts w:hint="eastAsia"/>
            </w:rPr>
            <w:tab/>
          </w:r>
          <w:r>
            <w:rPr>
              <w:rFonts w:hint="eastAsia"/>
            </w:rPr>
            <w:fldChar w:fldCharType="begin"/>
          </w:r>
          <w:r>
            <w:rPr>
              <w:rFonts w:hint="eastAsia"/>
            </w:rPr>
            <w:instrText xml:space="preserve"> </w:instrText>
          </w:r>
          <w:r>
            <w:instrText xml:space="preserve">PAGEREF _Toc240879638 \h</w:instrText>
          </w:r>
          <w:r>
            <w:rPr>
              <w:rFonts w:hint="eastAsia"/>
            </w:rPr>
            <w:instrText xml:space="preserve"> </w:instrText>
          </w:r>
          <w:r>
            <w:rPr>
              <w:rFonts w:hint="eastAsia"/>
            </w:rPr>
            <w:fldChar w:fldCharType="separate"/>
          </w:r>
          <w:r>
            <w:rPr>
              <w:rFonts w:hint="eastAsia"/>
            </w:rPr>
            <w:t>16</w:t>
          </w:r>
          <w:r>
            <w:rPr>
              <w:rFonts w:hint="eastAsia"/>
            </w:rPr>
            <w:fldChar w:fldCharType="end"/>
          </w:r>
          <w:r>
            <w:rPr>
              <w:rFonts w:hint="eastAsia"/>
            </w:rPr>
            <w:fldChar w:fldCharType="end"/>
          </w:r>
        </w:p>
        <w:p w14:paraId="5F8F30A2">
          <w:pPr>
            <w:pStyle w:val="18"/>
            <w:rPr>
              <w:rFonts w:hint="eastAsia"/>
              <w:sz w:val="22"/>
              <w:szCs w:val="24"/>
              <w14:ligatures w14:val="standardContextual"/>
            </w:rPr>
          </w:pPr>
          <w:r>
            <w:fldChar w:fldCharType="begin"/>
          </w:r>
          <w:r>
            <w:instrText xml:space="preserve"> HYPERLINK \l "_Toc240879639" </w:instrText>
          </w:r>
          <w:r>
            <w:fldChar w:fldCharType="separate"/>
          </w:r>
          <w:r>
            <w:rPr>
              <w:rStyle w:val="24"/>
              <w:rFonts w:ascii="Times New Roman" w:hAnsi="Times New Roman" w:eastAsia="楷体" w:cs="Times New Roman"/>
              <w:bCs/>
              <w:kern w:val="44"/>
            </w:rPr>
            <w:t>第五节 营造宁静宜居环境</w:t>
          </w:r>
          <w:r>
            <w:rPr>
              <w:rFonts w:hint="eastAsia"/>
            </w:rPr>
            <w:tab/>
          </w:r>
          <w:r>
            <w:rPr>
              <w:rFonts w:hint="eastAsia"/>
            </w:rPr>
            <w:fldChar w:fldCharType="begin"/>
          </w:r>
          <w:r>
            <w:rPr>
              <w:rFonts w:hint="eastAsia"/>
            </w:rPr>
            <w:instrText xml:space="preserve"> </w:instrText>
          </w:r>
          <w:r>
            <w:instrText xml:space="preserve">PAGEREF _Toc240879639 \h</w:instrText>
          </w:r>
          <w:r>
            <w:rPr>
              <w:rFonts w:hint="eastAsia"/>
            </w:rPr>
            <w:instrText xml:space="preserve"> </w:instrText>
          </w:r>
          <w:r>
            <w:rPr>
              <w:rFonts w:hint="eastAsia"/>
            </w:rPr>
            <w:fldChar w:fldCharType="separate"/>
          </w:r>
          <w:r>
            <w:rPr>
              <w:rFonts w:hint="eastAsia"/>
            </w:rPr>
            <w:t>17</w:t>
          </w:r>
          <w:r>
            <w:rPr>
              <w:rFonts w:hint="eastAsia"/>
            </w:rPr>
            <w:fldChar w:fldCharType="end"/>
          </w:r>
          <w:r>
            <w:rPr>
              <w:rFonts w:hint="eastAsia"/>
            </w:rPr>
            <w:fldChar w:fldCharType="end"/>
          </w:r>
        </w:p>
        <w:p w14:paraId="13499BDC">
          <w:pPr>
            <w:pStyle w:val="18"/>
            <w:rPr>
              <w:rFonts w:hint="eastAsia"/>
              <w:sz w:val="22"/>
              <w:szCs w:val="24"/>
              <w14:ligatures w14:val="standardContextual"/>
            </w:rPr>
          </w:pPr>
          <w:r>
            <w:fldChar w:fldCharType="begin"/>
          </w:r>
          <w:r>
            <w:instrText xml:space="preserve"> HYPERLINK \l "_Toc240879640" </w:instrText>
          </w:r>
          <w:r>
            <w:fldChar w:fldCharType="separate"/>
          </w:r>
          <w:r>
            <w:rPr>
              <w:rStyle w:val="24"/>
              <w:rFonts w:ascii="Times New Roman" w:hAnsi="Times New Roman" w:eastAsia="黑体" w:cs="Times New Roman"/>
              <w:bCs/>
            </w:rPr>
            <w:t>第五章 提升生态系统多样性稳定性</w:t>
          </w:r>
          <w:r>
            <w:rPr>
              <w:rFonts w:hint="eastAsia"/>
            </w:rPr>
            <w:tab/>
          </w:r>
          <w:r>
            <w:rPr>
              <w:rFonts w:hint="eastAsia"/>
            </w:rPr>
            <w:fldChar w:fldCharType="begin"/>
          </w:r>
          <w:r>
            <w:rPr>
              <w:rFonts w:hint="eastAsia"/>
            </w:rPr>
            <w:instrText xml:space="preserve"> </w:instrText>
          </w:r>
          <w:r>
            <w:instrText xml:space="preserve">PAGEREF _Toc240879640 \h</w:instrText>
          </w:r>
          <w:r>
            <w:rPr>
              <w:rFonts w:hint="eastAsia"/>
            </w:rPr>
            <w:instrText xml:space="preserve"> </w:instrText>
          </w:r>
          <w:r>
            <w:rPr>
              <w:rFonts w:hint="eastAsia"/>
            </w:rPr>
            <w:fldChar w:fldCharType="separate"/>
          </w:r>
          <w:r>
            <w:rPr>
              <w:rFonts w:hint="eastAsia"/>
            </w:rPr>
            <w:t>19</w:t>
          </w:r>
          <w:r>
            <w:rPr>
              <w:rFonts w:hint="eastAsia"/>
            </w:rPr>
            <w:fldChar w:fldCharType="end"/>
          </w:r>
          <w:r>
            <w:rPr>
              <w:rFonts w:hint="eastAsia"/>
            </w:rPr>
            <w:fldChar w:fldCharType="end"/>
          </w:r>
        </w:p>
        <w:p w14:paraId="09ECF4B5">
          <w:pPr>
            <w:pStyle w:val="18"/>
            <w:rPr>
              <w:rFonts w:hint="eastAsia"/>
              <w:sz w:val="22"/>
              <w:szCs w:val="24"/>
              <w14:ligatures w14:val="standardContextual"/>
            </w:rPr>
          </w:pPr>
          <w:r>
            <w:fldChar w:fldCharType="begin"/>
          </w:r>
          <w:r>
            <w:instrText xml:space="preserve"> HYPERLINK \l "_Toc240879641" </w:instrText>
          </w:r>
          <w:r>
            <w:fldChar w:fldCharType="separate"/>
          </w:r>
          <w:r>
            <w:rPr>
              <w:rStyle w:val="24"/>
              <w:rFonts w:ascii="Times New Roman" w:hAnsi="Times New Roman" w:eastAsia="楷体" w:cs="Times New Roman"/>
              <w:bCs/>
              <w:kern w:val="44"/>
            </w:rPr>
            <w:t>第一节 筑牢生态安全屏障</w:t>
          </w:r>
          <w:r>
            <w:rPr>
              <w:rFonts w:hint="eastAsia"/>
            </w:rPr>
            <w:tab/>
          </w:r>
          <w:r>
            <w:rPr>
              <w:rFonts w:hint="eastAsia"/>
            </w:rPr>
            <w:fldChar w:fldCharType="begin"/>
          </w:r>
          <w:r>
            <w:rPr>
              <w:rFonts w:hint="eastAsia"/>
            </w:rPr>
            <w:instrText xml:space="preserve"> </w:instrText>
          </w:r>
          <w:r>
            <w:instrText xml:space="preserve">PAGEREF _Toc240879641 \h</w:instrText>
          </w:r>
          <w:r>
            <w:rPr>
              <w:rFonts w:hint="eastAsia"/>
            </w:rPr>
            <w:instrText xml:space="preserve"> </w:instrText>
          </w:r>
          <w:r>
            <w:rPr>
              <w:rFonts w:hint="eastAsia"/>
            </w:rPr>
            <w:fldChar w:fldCharType="separate"/>
          </w:r>
          <w:r>
            <w:rPr>
              <w:rFonts w:hint="eastAsia"/>
            </w:rPr>
            <w:t>19</w:t>
          </w:r>
          <w:r>
            <w:rPr>
              <w:rFonts w:hint="eastAsia"/>
            </w:rPr>
            <w:fldChar w:fldCharType="end"/>
          </w:r>
          <w:r>
            <w:rPr>
              <w:rFonts w:hint="eastAsia"/>
            </w:rPr>
            <w:fldChar w:fldCharType="end"/>
          </w:r>
        </w:p>
        <w:p w14:paraId="6274768E">
          <w:pPr>
            <w:pStyle w:val="18"/>
            <w:rPr>
              <w:rFonts w:hint="eastAsia"/>
              <w:sz w:val="22"/>
              <w:szCs w:val="24"/>
              <w14:ligatures w14:val="standardContextual"/>
            </w:rPr>
          </w:pPr>
          <w:r>
            <w:fldChar w:fldCharType="begin"/>
          </w:r>
          <w:r>
            <w:instrText xml:space="preserve"> HYPERLINK \l "_Toc240879642" </w:instrText>
          </w:r>
          <w:r>
            <w:fldChar w:fldCharType="separate"/>
          </w:r>
          <w:r>
            <w:rPr>
              <w:rStyle w:val="24"/>
              <w:rFonts w:ascii="Times New Roman" w:hAnsi="Times New Roman" w:eastAsia="楷体" w:cs="Times New Roman"/>
              <w:bCs/>
              <w:kern w:val="44"/>
            </w:rPr>
            <w:t>第二节 推进生态系统一体化治理</w:t>
          </w:r>
          <w:r>
            <w:rPr>
              <w:rFonts w:hint="eastAsia"/>
            </w:rPr>
            <w:tab/>
          </w:r>
          <w:r>
            <w:rPr>
              <w:rFonts w:hint="eastAsia"/>
            </w:rPr>
            <w:fldChar w:fldCharType="begin"/>
          </w:r>
          <w:r>
            <w:rPr>
              <w:rFonts w:hint="eastAsia"/>
            </w:rPr>
            <w:instrText xml:space="preserve"> </w:instrText>
          </w:r>
          <w:r>
            <w:instrText xml:space="preserve">PAGEREF _Toc240879642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28F50545">
          <w:pPr>
            <w:pStyle w:val="18"/>
            <w:rPr>
              <w:rFonts w:hint="eastAsia"/>
              <w:sz w:val="22"/>
              <w:szCs w:val="24"/>
              <w14:ligatures w14:val="standardContextual"/>
            </w:rPr>
          </w:pPr>
          <w:r>
            <w:fldChar w:fldCharType="begin"/>
          </w:r>
          <w:r>
            <w:instrText xml:space="preserve"> HYPERLINK \l "_Toc240879643" </w:instrText>
          </w:r>
          <w:r>
            <w:fldChar w:fldCharType="separate"/>
          </w:r>
          <w:r>
            <w:rPr>
              <w:rStyle w:val="24"/>
              <w:rFonts w:ascii="Times New Roman" w:hAnsi="Times New Roman" w:eastAsia="楷体" w:cs="Times New Roman"/>
              <w:bCs/>
              <w:kern w:val="44"/>
            </w:rPr>
            <w:t>第三节 保护生物多样性</w:t>
          </w:r>
          <w:r>
            <w:rPr>
              <w:rFonts w:hint="eastAsia"/>
            </w:rPr>
            <w:tab/>
          </w:r>
          <w:r>
            <w:rPr>
              <w:rFonts w:hint="eastAsia"/>
            </w:rPr>
            <w:fldChar w:fldCharType="begin"/>
          </w:r>
          <w:r>
            <w:rPr>
              <w:rFonts w:hint="eastAsia"/>
            </w:rPr>
            <w:instrText xml:space="preserve"> </w:instrText>
          </w:r>
          <w:r>
            <w:instrText xml:space="preserve">PAGEREF _Toc240879643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5AD8002E">
          <w:pPr>
            <w:pStyle w:val="18"/>
            <w:rPr>
              <w:rFonts w:hint="eastAsia"/>
              <w:sz w:val="22"/>
              <w:szCs w:val="24"/>
              <w14:ligatures w14:val="standardContextual"/>
            </w:rPr>
          </w:pPr>
          <w:r>
            <w:fldChar w:fldCharType="begin"/>
          </w:r>
          <w:r>
            <w:instrText xml:space="preserve"> HYPERLINK \l "_Toc240879644" </w:instrText>
          </w:r>
          <w:r>
            <w:fldChar w:fldCharType="separate"/>
          </w:r>
          <w:r>
            <w:rPr>
              <w:rStyle w:val="24"/>
              <w:rFonts w:ascii="Times New Roman" w:hAnsi="Times New Roman" w:eastAsia="楷体" w:cs="Times New Roman"/>
              <w:bCs/>
              <w:kern w:val="44"/>
            </w:rPr>
            <w:t>第四节 加强生态保护修复统一监管</w:t>
          </w:r>
          <w:r>
            <w:rPr>
              <w:rFonts w:hint="eastAsia"/>
            </w:rPr>
            <w:tab/>
          </w:r>
          <w:r>
            <w:rPr>
              <w:rFonts w:hint="eastAsia"/>
            </w:rPr>
            <w:fldChar w:fldCharType="begin"/>
          </w:r>
          <w:r>
            <w:rPr>
              <w:rFonts w:hint="eastAsia"/>
            </w:rPr>
            <w:instrText xml:space="preserve"> </w:instrText>
          </w:r>
          <w:r>
            <w:instrText xml:space="preserve">PAGEREF _Toc240879644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2B8BD5EE">
          <w:pPr>
            <w:pStyle w:val="18"/>
            <w:rPr>
              <w:rFonts w:hint="eastAsia"/>
              <w:sz w:val="22"/>
              <w:szCs w:val="24"/>
              <w14:ligatures w14:val="standardContextual"/>
            </w:rPr>
          </w:pPr>
          <w:r>
            <w:fldChar w:fldCharType="begin"/>
          </w:r>
          <w:r>
            <w:instrText xml:space="preserve"> HYPERLINK \l "_Toc240879645" </w:instrText>
          </w:r>
          <w:r>
            <w:fldChar w:fldCharType="separate"/>
          </w:r>
          <w:r>
            <w:rPr>
              <w:rStyle w:val="24"/>
              <w:rFonts w:ascii="Times New Roman" w:hAnsi="Times New Roman" w:eastAsia="黑体" w:cs="Times New Roman"/>
              <w:bCs/>
            </w:rPr>
            <w:t>第六章 守牢生态环境安全底线</w:t>
          </w:r>
          <w:r>
            <w:rPr>
              <w:rFonts w:hint="eastAsia"/>
            </w:rPr>
            <w:tab/>
          </w:r>
          <w:r>
            <w:rPr>
              <w:rFonts w:hint="eastAsia"/>
            </w:rPr>
            <w:fldChar w:fldCharType="begin"/>
          </w:r>
          <w:r>
            <w:rPr>
              <w:rFonts w:hint="eastAsia"/>
            </w:rPr>
            <w:instrText xml:space="preserve"> </w:instrText>
          </w:r>
          <w:r>
            <w:instrText xml:space="preserve">PAGEREF _Toc240879645 \h</w:instrText>
          </w:r>
          <w:r>
            <w:rPr>
              <w:rFonts w:hint="eastAsia"/>
            </w:rPr>
            <w:instrText xml:space="preserve"> </w:instrText>
          </w:r>
          <w:r>
            <w:rPr>
              <w:rFonts w:hint="eastAsia"/>
            </w:rPr>
            <w:fldChar w:fldCharType="separate"/>
          </w:r>
          <w:r>
            <w:rPr>
              <w:rFonts w:hint="eastAsia"/>
            </w:rPr>
            <w:t>22</w:t>
          </w:r>
          <w:r>
            <w:rPr>
              <w:rFonts w:hint="eastAsia"/>
            </w:rPr>
            <w:fldChar w:fldCharType="end"/>
          </w:r>
          <w:r>
            <w:rPr>
              <w:rFonts w:hint="eastAsia"/>
            </w:rPr>
            <w:fldChar w:fldCharType="end"/>
          </w:r>
        </w:p>
        <w:p w14:paraId="2E9AD08C">
          <w:pPr>
            <w:pStyle w:val="18"/>
            <w:rPr>
              <w:rFonts w:hint="eastAsia"/>
              <w:sz w:val="22"/>
              <w:szCs w:val="24"/>
              <w14:ligatures w14:val="standardContextual"/>
            </w:rPr>
          </w:pPr>
          <w:r>
            <w:fldChar w:fldCharType="begin"/>
          </w:r>
          <w:r>
            <w:instrText xml:space="preserve"> HYPERLINK \l "_Toc240879646" </w:instrText>
          </w:r>
          <w:r>
            <w:fldChar w:fldCharType="separate"/>
          </w:r>
          <w:r>
            <w:rPr>
              <w:rStyle w:val="24"/>
              <w:rFonts w:ascii="Times New Roman" w:hAnsi="Times New Roman" w:eastAsia="楷体" w:cs="Times New Roman"/>
              <w:bCs/>
              <w:kern w:val="44"/>
            </w:rPr>
            <w:t>第一节 严密防控环境风险</w:t>
          </w:r>
          <w:r>
            <w:rPr>
              <w:rFonts w:hint="eastAsia"/>
            </w:rPr>
            <w:tab/>
          </w:r>
          <w:r>
            <w:rPr>
              <w:rFonts w:hint="eastAsia"/>
            </w:rPr>
            <w:fldChar w:fldCharType="begin"/>
          </w:r>
          <w:r>
            <w:rPr>
              <w:rFonts w:hint="eastAsia"/>
            </w:rPr>
            <w:instrText xml:space="preserve"> </w:instrText>
          </w:r>
          <w:r>
            <w:instrText xml:space="preserve">PAGEREF _Toc240879646 \h</w:instrText>
          </w:r>
          <w:r>
            <w:rPr>
              <w:rFonts w:hint="eastAsia"/>
            </w:rPr>
            <w:instrText xml:space="preserve"> </w:instrText>
          </w:r>
          <w:r>
            <w:rPr>
              <w:rFonts w:hint="eastAsia"/>
            </w:rPr>
            <w:fldChar w:fldCharType="separate"/>
          </w:r>
          <w:r>
            <w:rPr>
              <w:rFonts w:hint="eastAsia"/>
            </w:rPr>
            <w:t>22</w:t>
          </w:r>
          <w:r>
            <w:rPr>
              <w:rFonts w:hint="eastAsia"/>
            </w:rPr>
            <w:fldChar w:fldCharType="end"/>
          </w:r>
          <w:r>
            <w:rPr>
              <w:rFonts w:hint="eastAsia"/>
            </w:rPr>
            <w:fldChar w:fldCharType="end"/>
          </w:r>
        </w:p>
        <w:p w14:paraId="043F5079">
          <w:pPr>
            <w:pStyle w:val="18"/>
            <w:rPr>
              <w:rFonts w:hint="eastAsia"/>
              <w:sz w:val="22"/>
              <w:szCs w:val="24"/>
              <w14:ligatures w14:val="standardContextual"/>
            </w:rPr>
          </w:pPr>
          <w:r>
            <w:fldChar w:fldCharType="begin"/>
          </w:r>
          <w:r>
            <w:instrText xml:space="preserve"> HYPERLINK \l "_Toc240879647" </w:instrText>
          </w:r>
          <w:r>
            <w:fldChar w:fldCharType="separate"/>
          </w:r>
          <w:r>
            <w:rPr>
              <w:rStyle w:val="24"/>
              <w:rFonts w:ascii="Times New Roman" w:hAnsi="Times New Roman" w:eastAsia="楷体" w:cs="Times New Roman"/>
              <w:bCs/>
              <w:kern w:val="44"/>
            </w:rPr>
            <w:t>第二节 提升气候变化适应能力</w:t>
          </w:r>
          <w:r>
            <w:rPr>
              <w:rFonts w:hint="eastAsia"/>
            </w:rPr>
            <w:tab/>
          </w:r>
          <w:r>
            <w:rPr>
              <w:rFonts w:hint="eastAsia"/>
            </w:rPr>
            <w:fldChar w:fldCharType="begin"/>
          </w:r>
          <w:r>
            <w:rPr>
              <w:rFonts w:hint="eastAsia"/>
            </w:rPr>
            <w:instrText xml:space="preserve"> </w:instrText>
          </w:r>
          <w:r>
            <w:instrText xml:space="preserve">PAGEREF _Toc240879647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0BFEDB9F">
          <w:pPr>
            <w:pStyle w:val="18"/>
            <w:rPr>
              <w:rFonts w:hint="eastAsia"/>
              <w:sz w:val="22"/>
              <w:szCs w:val="24"/>
              <w14:ligatures w14:val="standardContextual"/>
            </w:rPr>
          </w:pPr>
          <w:r>
            <w:fldChar w:fldCharType="begin"/>
          </w:r>
          <w:r>
            <w:instrText xml:space="preserve"> HYPERLINK \l "_Toc240879648" </w:instrText>
          </w:r>
          <w:r>
            <w:fldChar w:fldCharType="separate"/>
          </w:r>
          <w:r>
            <w:rPr>
              <w:rStyle w:val="24"/>
              <w:rFonts w:ascii="Times New Roman" w:hAnsi="Times New Roman" w:eastAsia="楷体" w:cs="Times New Roman"/>
              <w:bCs/>
              <w:kern w:val="44"/>
            </w:rPr>
            <w:t>第三节 强化环境健康管理</w:t>
          </w:r>
          <w:r>
            <w:rPr>
              <w:rFonts w:hint="eastAsia"/>
            </w:rPr>
            <w:tab/>
          </w:r>
          <w:r>
            <w:rPr>
              <w:rFonts w:hint="eastAsia"/>
            </w:rPr>
            <w:fldChar w:fldCharType="begin"/>
          </w:r>
          <w:r>
            <w:rPr>
              <w:rFonts w:hint="eastAsia"/>
            </w:rPr>
            <w:instrText xml:space="preserve"> </w:instrText>
          </w:r>
          <w:r>
            <w:instrText xml:space="preserve">PAGEREF _Toc240879648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4B3C15F0">
          <w:pPr>
            <w:pStyle w:val="18"/>
            <w:rPr>
              <w:rFonts w:hint="eastAsia"/>
              <w:sz w:val="22"/>
              <w:szCs w:val="24"/>
              <w14:ligatures w14:val="standardContextual"/>
            </w:rPr>
          </w:pPr>
          <w:r>
            <w:fldChar w:fldCharType="begin"/>
          </w:r>
          <w:r>
            <w:instrText xml:space="preserve"> HYPERLINK \l "_Toc240879649" </w:instrText>
          </w:r>
          <w:r>
            <w:fldChar w:fldCharType="separate"/>
          </w:r>
          <w:r>
            <w:rPr>
              <w:rStyle w:val="24"/>
              <w:rFonts w:ascii="Times New Roman" w:hAnsi="Times New Roman" w:eastAsia="黑体" w:cs="Times New Roman"/>
              <w:bCs/>
            </w:rPr>
            <w:t>第七章 提升生态环境治理体系现代化水平</w:t>
          </w:r>
          <w:r>
            <w:rPr>
              <w:rFonts w:hint="eastAsia"/>
            </w:rPr>
            <w:tab/>
          </w:r>
          <w:r>
            <w:rPr>
              <w:rFonts w:hint="eastAsia"/>
            </w:rPr>
            <w:fldChar w:fldCharType="begin"/>
          </w:r>
          <w:r>
            <w:rPr>
              <w:rFonts w:hint="eastAsia"/>
            </w:rPr>
            <w:instrText xml:space="preserve"> </w:instrText>
          </w:r>
          <w:r>
            <w:instrText xml:space="preserve">PAGEREF _Toc240879649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5B227459">
          <w:pPr>
            <w:pStyle w:val="18"/>
            <w:rPr>
              <w:rFonts w:hint="eastAsia"/>
              <w:sz w:val="22"/>
              <w:szCs w:val="24"/>
              <w14:ligatures w14:val="standardContextual"/>
            </w:rPr>
          </w:pPr>
          <w:r>
            <w:fldChar w:fldCharType="begin"/>
          </w:r>
          <w:r>
            <w:instrText xml:space="preserve"> HYPERLINK \l "_Toc240879650" </w:instrText>
          </w:r>
          <w:r>
            <w:fldChar w:fldCharType="separate"/>
          </w:r>
          <w:r>
            <w:rPr>
              <w:rStyle w:val="24"/>
              <w:rFonts w:ascii="Times New Roman" w:hAnsi="Times New Roman" w:eastAsia="楷体" w:cs="Times New Roman"/>
              <w:bCs/>
              <w:kern w:val="44"/>
            </w:rPr>
            <w:t>第一节 完善责任体系</w:t>
          </w:r>
          <w:r>
            <w:rPr>
              <w:rFonts w:hint="eastAsia"/>
            </w:rPr>
            <w:tab/>
          </w:r>
          <w:r>
            <w:rPr>
              <w:rFonts w:hint="eastAsia"/>
            </w:rPr>
            <w:fldChar w:fldCharType="begin"/>
          </w:r>
          <w:r>
            <w:rPr>
              <w:rFonts w:hint="eastAsia"/>
            </w:rPr>
            <w:instrText xml:space="preserve"> </w:instrText>
          </w:r>
          <w:r>
            <w:instrText xml:space="preserve">PAGEREF _Toc240879650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53D66434">
          <w:pPr>
            <w:pStyle w:val="18"/>
            <w:rPr>
              <w:rFonts w:hint="eastAsia"/>
              <w:sz w:val="22"/>
              <w:szCs w:val="24"/>
              <w14:ligatures w14:val="standardContextual"/>
            </w:rPr>
          </w:pPr>
          <w:r>
            <w:fldChar w:fldCharType="begin"/>
          </w:r>
          <w:r>
            <w:instrText xml:space="preserve"> HYPERLINK \l "_Toc240879651" </w:instrText>
          </w:r>
          <w:r>
            <w:fldChar w:fldCharType="separate"/>
          </w:r>
          <w:r>
            <w:rPr>
              <w:rStyle w:val="24"/>
              <w:rFonts w:ascii="Times New Roman" w:hAnsi="Times New Roman" w:eastAsia="楷体" w:cs="Times New Roman"/>
              <w:bCs/>
              <w:kern w:val="44"/>
            </w:rPr>
            <w:t>第二节 健全监管体系</w:t>
          </w:r>
          <w:r>
            <w:rPr>
              <w:rFonts w:hint="eastAsia"/>
            </w:rPr>
            <w:tab/>
          </w:r>
          <w:r>
            <w:rPr>
              <w:rFonts w:hint="eastAsia"/>
            </w:rPr>
            <w:fldChar w:fldCharType="begin"/>
          </w:r>
          <w:r>
            <w:rPr>
              <w:rFonts w:hint="eastAsia"/>
            </w:rPr>
            <w:instrText xml:space="preserve"> </w:instrText>
          </w:r>
          <w:r>
            <w:instrText xml:space="preserve">PAGEREF _Toc240879651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62CF11FB">
          <w:pPr>
            <w:pStyle w:val="18"/>
            <w:rPr>
              <w:rFonts w:hint="eastAsia"/>
              <w:sz w:val="22"/>
              <w:szCs w:val="24"/>
              <w14:ligatures w14:val="standardContextual"/>
            </w:rPr>
          </w:pPr>
          <w:r>
            <w:fldChar w:fldCharType="begin"/>
          </w:r>
          <w:r>
            <w:instrText xml:space="preserve"> HYPERLINK \l "_Toc240879652" </w:instrText>
          </w:r>
          <w:r>
            <w:fldChar w:fldCharType="separate"/>
          </w:r>
          <w:r>
            <w:rPr>
              <w:rStyle w:val="24"/>
              <w:rFonts w:ascii="Times New Roman" w:hAnsi="Times New Roman" w:eastAsia="楷体" w:cs="Times New Roman"/>
              <w:bCs/>
              <w:kern w:val="44"/>
            </w:rPr>
            <w:t>第三节 培育市场体系</w:t>
          </w:r>
          <w:r>
            <w:rPr>
              <w:rFonts w:hint="eastAsia"/>
            </w:rPr>
            <w:tab/>
          </w:r>
          <w:r>
            <w:rPr>
              <w:rFonts w:hint="eastAsia"/>
            </w:rPr>
            <w:fldChar w:fldCharType="begin"/>
          </w:r>
          <w:r>
            <w:rPr>
              <w:rFonts w:hint="eastAsia"/>
            </w:rPr>
            <w:instrText xml:space="preserve"> </w:instrText>
          </w:r>
          <w:r>
            <w:instrText xml:space="preserve">PAGEREF _Toc240879652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3CF1A406">
          <w:pPr>
            <w:pStyle w:val="18"/>
            <w:rPr>
              <w:rFonts w:hint="eastAsia"/>
              <w:sz w:val="22"/>
              <w:szCs w:val="24"/>
              <w14:ligatures w14:val="standardContextual"/>
            </w:rPr>
          </w:pPr>
          <w:r>
            <w:fldChar w:fldCharType="begin"/>
          </w:r>
          <w:r>
            <w:instrText xml:space="preserve"> HYPERLINK \l "_Toc240879653" </w:instrText>
          </w:r>
          <w:r>
            <w:fldChar w:fldCharType="separate"/>
          </w:r>
          <w:r>
            <w:rPr>
              <w:rStyle w:val="24"/>
              <w:rFonts w:ascii="Times New Roman" w:hAnsi="Times New Roman" w:eastAsia="楷体" w:cs="Times New Roman"/>
              <w:bCs/>
              <w:kern w:val="44"/>
            </w:rPr>
            <w:t>第四节 构建全民行动体系</w:t>
          </w:r>
          <w:r>
            <w:rPr>
              <w:rFonts w:hint="eastAsia"/>
            </w:rPr>
            <w:tab/>
          </w:r>
          <w:r>
            <w:rPr>
              <w:rFonts w:hint="eastAsia"/>
            </w:rPr>
            <w:fldChar w:fldCharType="begin"/>
          </w:r>
          <w:r>
            <w:rPr>
              <w:rFonts w:hint="eastAsia"/>
            </w:rPr>
            <w:instrText xml:space="preserve"> </w:instrText>
          </w:r>
          <w:r>
            <w:instrText xml:space="preserve">PAGEREF _Toc240879653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14:paraId="1D2E4BDB">
          <w:pPr>
            <w:pStyle w:val="18"/>
            <w:rPr>
              <w:rFonts w:hint="eastAsia"/>
              <w:sz w:val="22"/>
              <w:szCs w:val="24"/>
              <w14:ligatures w14:val="standardContextual"/>
            </w:rPr>
          </w:pPr>
          <w:r>
            <w:fldChar w:fldCharType="begin"/>
          </w:r>
          <w:r>
            <w:instrText xml:space="preserve"> HYPERLINK \l "_Toc240879654" </w:instrText>
          </w:r>
          <w:r>
            <w:fldChar w:fldCharType="separate"/>
          </w:r>
          <w:r>
            <w:rPr>
              <w:rStyle w:val="24"/>
              <w:rFonts w:ascii="Times New Roman" w:hAnsi="Times New Roman" w:eastAsia="楷体" w:cs="Times New Roman"/>
              <w:bCs/>
              <w:kern w:val="44"/>
            </w:rPr>
            <w:t>第五节 提升智慧治理水平</w:t>
          </w:r>
          <w:r>
            <w:rPr>
              <w:rFonts w:hint="eastAsia"/>
            </w:rPr>
            <w:tab/>
          </w:r>
          <w:r>
            <w:rPr>
              <w:rFonts w:hint="eastAsia"/>
            </w:rPr>
            <w:fldChar w:fldCharType="begin"/>
          </w:r>
          <w:r>
            <w:rPr>
              <w:rFonts w:hint="eastAsia"/>
            </w:rPr>
            <w:instrText xml:space="preserve"> </w:instrText>
          </w:r>
          <w:r>
            <w:instrText xml:space="preserve">PAGEREF _Toc240879654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1420C396">
          <w:pPr>
            <w:pStyle w:val="18"/>
            <w:rPr>
              <w:rFonts w:hint="eastAsia"/>
              <w:sz w:val="22"/>
              <w:szCs w:val="24"/>
              <w14:ligatures w14:val="standardContextual"/>
            </w:rPr>
          </w:pPr>
          <w:r>
            <w:fldChar w:fldCharType="begin"/>
          </w:r>
          <w:r>
            <w:instrText xml:space="preserve"> HYPERLINK \l "_Toc240879655" </w:instrText>
          </w:r>
          <w:r>
            <w:fldChar w:fldCharType="separate"/>
          </w:r>
          <w:r>
            <w:rPr>
              <w:rStyle w:val="24"/>
              <w:rFonts w:ascii="Times New Roman" w:hAnsi="Times New Roman" w:eastAsia="黑体" w:cs="Times New Roman"/>
              <w:bCs/>
            </w:rPr>
            <w:t>第八章 立体推进美丽花都建设</w:t>
          </w:r>
          <w:r>
            <w:rPr>
              <w:rFonts w:hint="eastAsia"/>
            </w:rPr>
            <w:tab/>
          </w:r>
          <w:r>
            <w:rPr>
              <w:rFonts w:hint="eastAsia"/>
            </w:rPr>
            <w:fldChar w:fldCharType="begin"/>
          </w:r>
          <w:r>
            <w:rPr>
              <w:rFonts w:hint="eastAsia"/>
            </w:rPr>
            <w:instrText xml:space="preserve"> </w:instrText>
          </w:r>
          <w:r>
            <w:instrText xml:space="preserve">PAGEREF _Toc240879655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47FC1FB8">
          <w:pPr>
            <w:pStyle w:val="18"/>
            <w:rPr>
              <w:rFonts w:hint="eastAsia"/>
              <w:sz w:val="22"/>
              <w:szCs w:val="24"/>
              <w14:ligatures w14:val="standardContextual"/>
            </w:rPr>
          </w:pPr>
          <w:r>
            <w:fldChar w:fldCharType="begin"/>
          </w:r>
          <w:r>
            <w:instrText xml:space="preserve"> HYPERLINK \l "_Toc240879656" </w:instrText>
          </w:r>
          <w:r>
            <w:fldChar w:fldCharType="separate"/>
          </w:r>
          <w:r>
            <w:rPr>
              <w:rStyle w:val="24"/>
              <w:rFonts w:ascii="Times New Roman" w:hAnsi="Times New Roman" w:eastAsia="楷体" w:cs="Times New Roman"/>
              <w:bCs/>
              <w:kern w:val="44"/>
            </w:rPr>
            <w:t>第一节 系统推进美丽单元建设</w:t>
          </w:r>
          <w:r>
            <w:rPr>
              <w:rFonts w:hint="eastAsia"/>
            </w:rPr>
            <w:tab/>
          </w:r>
          <w:r>
            <w:rPr>
              <w:rFonts w:hint="eastAsia"/>
            </w:rPr>
            <w:fldChar w:fldCharType="begin"/>
          </w:r>
          <w:r>
            <w:rPr>
              <w:rFonts w:hint="eastAsia"/>
            </w:rPr>
            <w:instrText xml:space="preserve"> </w:instrText>
          </w:r>
          <w:r>
            <w:instrText xml:space="preserve">PAGEREF _Toc240879656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2E59A199">
          <w:pPr>
            <w:pStyle w:val="18"/>
            <w:rPr>
              <w:rFonts w:hint="eastAsia"/>
              <w:sz w:val="22"/>
              <w:szCs w:val="24"/>
              <w14:ligatures w14:val="standardContextual"/>
            </w:rPr>
          </w:pPr>
          <w:r>
            <w:fldChar w:fldCharType="begin"/>
          </w:r>
          <w:r>
            <w:instrText xml:space="preserve"> HYPERLINK \l "_Toc240879657" </w:instrText>
          </w:r>
          <w:r>
            <w:fldChar w:fldCharType="separate"/>
          </w:r>
          <w:r>
            <w:rPr>
              <w:rStyle w:val="24"/>
              <w:rFonts w:ascii="Times New Roman" w:hAnsi="Times New Roman" w:eastAsia="楷体" w:cs="Times New Roman"/>
              <w:bCs/>
              <w:kern w:val="44"/>
            </w:rPr>
            <w:t>第二节 积极培育多样美丽细胞</w:t>
          </w:r>
          <w:r>
            <w:rPr>
              <w:rFonts w:hint="eastAsia"/>
            </w:rPr>
            <w:tab/>
          </w:r>
          <w:r>
            <w:rPr>
              <w:rFonts w:hint="eastAsia"/>
            </w:rPr>
            <w:fldChar w:fldCharType="begin"/>
          </w:r>
          <w:r>
            <w:rPr>
              <w:rFonts w:hint="eastAsia"/>
            </w:rPr>
            <w:instrText xml:space="preserve"> </w:instrText>
          </w:r>
          <w:r>
            <w:instrText xml:space="preserve">PAGEREF _Toc240879657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3F99368F">
          <w:pPr>
            <w:pStyle w:val="18"/>
            <w:rPr>
              <w:rFonts w:hint="eastAsia"/>
              <w:sz w:val="22"/>
              <w:szCs w:val="24"/>
              <w14:ligatures w14:val="standardContextual"/>
            </w:rPr>
          </w:pPr>
          <w:r>
            <w:fldChar w:fldCharType="begin"/>
          </w:r>
          <w:r>
            <w:instrText xml:space="preserve"> HYPERLINK \l "_Toc240879658" </w:instrText>
          </w:r>
          <w:r>
            <w:fldChar w:fldCharType="separate"/>
          </w:r>
          <w:r>
            <w:rPr>
              <w:rStyle w:val="24"/>
              <w:rFonts w:ascii="Times New Roman" w:hAnsi="Times New Roman" w:eastAsia="楷体" w:cs="Times New Roman"/>
              <w:bCs/>
              <w:kern w:val="44"/>
            </w:rPr>
            <w:t>第三节 统筹谋划各类美丽工程</w:t>
          </w:r>
          <w:r>
            <w:rPr>
              <w:rFonts w:hint="eastAsia"/>
            </w:rPr>
            <w:tab/>
          </w:r>
          <w:r>
            <w:rPr>
              <w:rFonts w:hint="eastAsia"/>
            </w:rPr>
            <w:fldChar w:fldCharType="begin"/>
          </w:r>
          <w:r>
            <w:rPr>
              <w:rFonts w:hint="eastAsia"/>
            </w:rPr>
            <w:instrText xml:space="preserve"> </w:instrText>
          </w:r>
          <w:r>
            <w:instrText xml:space="preserve">PAGEREF _Toc240879658 \h</w:instrText>
          </w:r>
          <w:r>
            <w:rPr>
              <w:rFonts w:hint="eastAsia"/>
            </w:rPr>
            <w:instrText xml:space="preserve"> </w:instrText>
          </w:r>
          <w:r>
            <w:rPr>
              <w:rFonts w:hint="eastAsia"/>
            </w:rPr>
            <w:fldChar w:fldCharType="separate"/>
          </w:r>
          <w:r>
            <w:rPr>
              <w:rFonts w:hint="eastAsia"/>
            </w:rPr>
            <w:t>30</w:t>
          </w:r>
          <w:r>
            <w:rPr>
              <w:rFonts w:hint="eastAsia"/>
            </w:rPr>
            <w:fldChar w:fldCharType="end"/>
          </w:r>
          <w:r>
            <w:rPr>
              <w:rFonts w:hint="eastAsia"/>
            </w:rPr>
            <w:fldChar w:fldCharType="end"/>
          </w:r>
        </w:p>
        <w:p w14:paraId="73CEECD4">
          <w:pPr>
            <w:pStyle w:val="18"/>
            <w:rPr>
              <w:rFonts w:hint="eastAsia"/>
              <w:sz w:val="22"/>
              <w:szCs w:val="24"/>
              <w14:ligatures w14:val="standardContextual"/>
            </w:rPr>
          </w:pPr>
          <w:r>
            <w:fldChar w:fldCharType="begin"/>
          </w:r>
          <w:r>
            <w:instrText xml:space="preserve"> HYPERLINK \l "_Toc240879659" </w:instrText>
          </w:r>
          <w:r>
            <w:fldChar w:fldCharType="separate"/>
          </w:r>
          <w:r>
            <w:rPr>
              <w:rStyle w:val="24"/>
              <w:rFonts w:ascii="Times New Roman" w:hAnsi="Times New Roman" w:eastAsia="黑体" w:cs="Times New Roman"/>
              <w:bCs/>
            </w:rPr>
            <w:t>第九章 实施保障</w:t>
          </w:r>
          <w:r>
            <w:rPr>
              <w:rFonts w:hint="eastAsia"/>
            </w:rPr>
            <w:tab/>
          </w:r>
          <w:r>
            <w:rPr>
              <w:rFonts w:hint="eastAsia"/>
            </w:rPr>
            <w:fldChar w:fldCharType="begin"/>
          </w:r>
          <w:r>
            <w:rPr>
              <w:rFonts w:hint="eastAsia"/>
            </w:rPr>
            <w:instrText xml:space="preserve"> </w:instrText>
          </w:r>
          <w:r>
            <w:instrText xml:space="preserve">PAGEREF _Toc240879659 \h</w:instrText>
          </w:r>
          <w:r>
            <w:rPr>
              <w:rFonts w:hint="eastAsia"/>
            </w:rPr>
            <w:instrText xml:space="preserve"> </w:instrText>
          </w:r>
          <w:r>
            <w:rPr>
              <w:rFonts w:hint="eastAsia"/>
            </w:rPr>
            <w:fldChar w:fldCharType="separate"/>
          </w:r>
          <w:r>
            <w:rPr>
              <w:rFonts w:hint="eastAsia"/>
            </w:rPr>
            <w:t>31</w:t>
          </w:r>
          <w:r>
            <w:rPr>
              <w:rFonts w:hint="eastAsia"/>
            </w:rPr>
            <w:fldChar w:fldCharType="end"/>
          </w:r>
          <w:r>
            <w:rPr>
              <w:rFonts w:hint="eastAsia"/>
            </w:rPr>
            <w:fldChar w:fldCharType="end"/>
          </w:r>
        </w:p>
        <w:p w14:paraId="64607BE5">
          <w:pPr>
            <w:pStyle w:val="18"/>
            <w:rPr>
              <w:rFonts w:hint="eastAsia"/>
              <w:sz w:val="22"/>
              <w:szCs w:val="24"/>
              <w14:ligatures w14:val="standardContextual"/>
            </w:rPr>
          </w:pPr>
          <w:r>
            <w:fldChar w:fldCharType="begin"/>
          </w:r>
          <w:r>
            <w:instrText xml:space="preserve"> HYPERLINK \l "_Toc240879660" </w:instrText>
          </w:r>
          <w:r>
            <w:fldChar w:fldCharType="separate"/>
          </w:r>
          <w:r>
            <w:rPr>
              <w:rStyle w:val="24"/>
              <w:rFonts w:ascii="Times New Roman" w:hAnsi="Times New Roman" w:eastAsia="楷体" w:cs="Times New Roman"/>
              <w:bCs/>
              <w:kern w:val="44"/>
            </w:rPr>
            <w:t>第一节 加强组织实施</w:t>
          </w:r>
          <w:r>
            <w:rPr>
              <w:rFonts w:hint="eastAsia"/>
            </w:rPr>
            <w:tab/>
          </w:r>
          <w:r>
            <w:rPr>
              <w:rFonts w:hint="eastAsia"/>
            </w:rPr>
            <w:fldChar w:fldCharType="begin"/>
          </w:r>
          <w:r>
            <w:rPr>
              <w:rFonts w:hint="eastAsia"/>
            </w:rPr>
            <w:instrText xml:space="preserve"> </w:instrText>
          </w:r>
          <w:r>
            <w:instrText xml:space="preserve">PAGEREF _Toc240879660 \h</w:instrText>
          </w:r>
          <w:r>
            <w:rPr>
              <w:rFonts w:hint="eastAsia"/>
            </w:rPr>
            <w:instrText xml:space="preserve"> </w:instrText>
          </w:r>
          <w:r>
            <w:rPr>
              <w:rFonts w:hint="eastAsia"/>
            </w:rPr>
            <w:fldChar w:fldCharType="separate"/>
          </w:r>
          <w:r>
            <w:rPr>
              <w:rFonts w:hint="eastAsia"/>
            </w:rPr>
            <w:t>31</w:t>
          </w:r>
          <w:r>
            <w:rPr>
              <w:rFonts w:hint="eastAsia"/>
            </w:rPr>
            <w:fldChar w:fldCharType="end"/>
          </w:r>
          <w:r>
            <w:rPr>
              <w:rFonts w:hint="eastAsia"/>
            </w:rPr>
            <w:fldChar w:fldCharType="end"/>
          </w:r>
        </w:p>
        <w:p w14:paraId="647DFC32">
          <w:pPr>
            <w:pStyle w:val="18"/>
            <w:rPr>
              <w:rFonts w:hint="eastAsia"/>
              <w:sz w:val="22"/>
              <w:szCs w:val="24"/>
              <w14:ligatures w14:val="standardContextual"/>
            </w:rPr>
          </w:pPr>
          <w:r>
            <w:fldChar w:fldCharType="begin"/>
          </w:r>
          <w:r>
            <w:instrText xml:space="preserve"> HYPERLINK \l "_Toc240879661" </w:instrText>
          </w:r>
          <w:r>
            <w:fldChar w:fldCharType="separate"/>
          </w:r>
          <w:r>
            <w:rPr>
              <w:rStyle w:val="24"/>
              <w:rFonts w:ascii="Times New Roman" w:hAnsi="Times New Roman" w:eastAsia="楷体" w:cs="Times New Roman"/>
              <w:bCs/>
              <w:kern w:val="44"/>
            </w:rPr>
            <w:t>第二节 落实资金保障</w:t>
          </w:r>
          <w:r>
            <w:rPr>
              <w:rFonts w:hint="eastAsia"/>
            </w:rPr>
            <w:tab/>
          </w:r>
          <w:r>
            <w:rPr>
              <w:rFonts w:hint="eastAsia"/>
            </w:rPr>
            <w:fldChar w:fldCharType="begin"/>
          </w:r>
          <w:r>
            <w:rPr>
              <w:rFonts w:hint="eastAsia"/>
            </w:rPr>
            <w:instrText xml:space="preserve"> </w:instrText>
          </w:r>
          <w:r>
            <w:instrText xml:space="preserve">PAGEREF _Toc240879661 \h</w:instrText>
          </w:r>
          <w:r>
            <w:rPr>
              <w:rFonts w:hint="eastAsia"/>
            </w:rPr>
            <w:instrText xml:space="preserve"> </w:instrText>
          </w:r>
          <w:r>
            <w:rPr>
              <w:rFonts w:hint="eastAsia"/>
            </w:rPr>
            <w:fldChar w:fldCharType="separate"/>
          </w:r>
          <w:r>
            <w:rPr>
              <w:rFonts w:hint="eastAsia"/>
            </w:rPr>
            <w:t>31</w:t>
          </w:r>
          <w:r>
            <w:rPr>
              <w:rFonts w:hint="eastAsia"/>
            </w:rPr>
            <w:fldChar w:fldCharType="end"/>
          </w:r>
          <w:r>
            <w:rPr>
              <w:rFonts w:hint="eastAsia"/>
            </w:rPr>
            <w:fldChar w:fldCharType="end"/>
          </w:r>
        </w:p>
        <w:p w14:paraId="7460F6CC">
          <w:pPr>
            <w:pStyle w:val="18"/>
            <w:rPr>
              <w:rFonts w:hint="eastAsia"/>
            </w:rPr>
          </w:pPr>
          <w:r>
            <w:fldChar w:fldCharType="begin"/>
          </w:r>
          <w:r>
            <w:instrText xml:space="preserve"> HYPERLINK \l "_Toc240879662" </w:instrText>
          </w:r>
          <w:r>
            <w:fldChar w:fldCharType="separate"/>
          </w:r>
          <w:r>
            <w:rPr>
              <w:rStyle w:val="24"/>
              <w:rFonts w:ascii="Times New Roman" w:hAnsi="Times New Roman" w:eastAsia="楷体" w:cs="Times New Roman"/>
              <w:bCs/>
              <w:kern w:val="44"/>
            </w:rPr>
            <w:t>第三节 强化实施评估</w:t>
          </w:r>
          <w:r>
            <w:rPr>
              <w:rFonts w:hint="eastAsia"/>
            </w:rPr>
            <w:tab/>
          </w:r>
          <w:r>
            <w:rPr>
              <w:rFonts w:hint="eastAsia"/>
            </w:rPr>
            <w:fldChar w:fldCharType="begin"/>
          </w:r>
          <w:r>
            <w:rPr>
              <w:rFonts w:hint="eastAsia"/>
            </w:rPr>
            <w:instrText xml:space="preserve"> </w:instrText>
          </w:r>
          <w:r>
            <w:instrText xml:space="preserve">PAGEREF _Toc240879662 \h</w:instrText>
          </w:r>
          <w:r>
            <w:rPr>
              <w:rFonts w:hint="eastAsia"/>
            </w:rPr>
            <w:instrText xml:space="preserve"> </w:instrText>
          </w:r>
          <w:r>
            <w:rPr>
              <w:rFonts w:hint="eastAsia"/>
            </w:rPr>
            <w:fldChar w:fldCharType="separate"/>
          </w:r>
          <w:r>
            <w:rPr>
              <w:rFonts w:hint="eastAsia"/>
            </w:rPr>
            <w:t>31</w:t>
          </w:r>
          <w:r>
            <w:rPr>
              <w:rFonts w:hint="eastAsia"/>
            </w:rPr>
            <w:fldChar w:fldCharType="end"/>
          </w:r>
          <w:r>
            <w:rPr>
              <w:rFonts w:hint="eastAsia"/>
            </w:rPr>
            <w:fldChar w:fldCharType="end"/>
          </w:r>
          <w:r>
            <w:rPr>
              <w:b/>
              <w:bCs/>
              <w:sz w:val="24"/>
              <w:szCs w:val="28"/>
              <w:lang w:val="zh-CN"/>
            </w:rPr>
            <w:fldChar w:fldCharType="end"/>
          </w:r>
        </w:p>
      </w:sdtContent>
    </w:sdt>
    <w:p w14:paraId="4A772FCB">
      <w:pPr>
        <w:widowControl/>
        <w:jc w:val="left"/>
        <w:rPr>
          <w:rFonts w:hint="eastAsia" w:ascii="Times New Roman" w:hAnsi="Times New Roman" w:eastAsia="黑体" w:cs="Times New Roman"/>
          <w:color w:val="000000"/>
          <w:sz w:val="32"/>
          <w:szCs w:val="32"/>
        </w:rPr>
        <w:sectPr>
          <w:pgSz w:w="11906" w:h="16838"/>
          <w:pgMar w:top="1440" w:right="1800" w:bottom="1440" w:left="1800" w:header="851" w:footer="992" w:gutter="0"/>
          <w:cols w:space="425" w:num="1"/>
          <w:docGrid w:type="lines" w:linePitch="312" w:charSpace="0"/>
        </w:sectPr>
      </w:pPr>
    </w:p>
    <w:p w14:paraId="04D8EE2A">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2" w:name="_Toc240879621"/>
      <w:r>
        <w:rPr>
          <w:rFonts w:ascii="Times New Roman" w:hAnsi="Times New Roman" w:eastAsia="黑体" w:cs="Times New Roman"/>
          <w:bCs/>
          <w:color w:val="auto"/>
          <w:sz w:val="32"/>
          <w:szCs w:val="32"/>
        </w:rPr>
        <w:t>前言</w:t>
      </w:r>
      <w:bookmarkEnd w:id="1"/>
      <w:bookmarkEnd w:id="2"/>
    </w:p>
    <w:p w14:paraId="49B446CC">
      <w:pPr>
        <w:snapToGrid w:val="0"/>
        <w:spacing w:line="560" w:lineRule="atLeast"/>
        <w:ind w:firstLine="640" w:firstLineChars="200"/>
        <w:rPr>
          <w:rFonts w:ascii="Times New Roman" w:hAnsi="Times New Roman" w:eastAsia="仿宋_GB2312" w:cs="Times New Roman"/>
          <w:color w:val="000000"/>
          <w:sz w:val="32"/>
          <w:szCs w:val="28"/>
        </w:rPr>
      </w:pPr>
      <w:r>
        <w:rPr>
          <w:rFonts w:ascii="Times New Roman" w:hAnsi="Times New Roman" w:eastAsia="仿宋_GB2312" w:cs="Times New Roman"/>
          <w:color w:val="000000"/>
          <w:sz w:val="32"/>
          <w:szCs w:val="28"/>
        </w:rPr>
        <w:t>“十四五”时期</w:t>
      </w:r>
      <w:r>
        <w:rPr>
          <w:rFonts w:hint="eastAsia" w:ascii="Times New Roman" w:hAnsi="Times New Roman" w:eastAsia="仿宋_GB2312" w:cs="Times New Roman"/>
          <w:color w:val="000000"/>
          <w:sz w:val="32"/>
          <w:szCs w:val="28"/>
        </w:rPr>
        <w:t>花都</w:t>
      </w:r>
      <w:r>
        <w:rPr>
          <w:rFonts w:ascii="Times New Roman" w:hAnsi="Times New Roman" w:eastAsia="仿宋_GB2312" w:cs="Times New Roman"/>
          <w:color w:val="000000"/>
          <w:sz w:val="32"/>
          <w:szCs w:val="28"/>
        </w:rPr>
        <w:t>区在各级各部门的共同努力下，生态环境保护工作取得积极进展，生态环境保护目标任务完成情况良好，为“十五五”时期生态环境质量持续改善提供了良好的基础条件。“十五五”时期（2026-2030年），</w:t>
      </w:r>
      <w:r>
        <w:rPr>
          <w:rFonts w:hint="eastAsia" w:ascii="Times New Roman" w:hAnsi="Times New Roman" w:eastAsia="仿宋_GB2312" w:cs="Times New Roman"/>
          <w:color w:val="000000"/>
          <w:sz w:val="32"/>
          <w:szCs w:val="28"/>
        </w:rPr>
        <w:t>是</w:t>
      </w:r>
      <w:r>
        <w:rPr>
          <w:rFonts w:ascii="Times New Roman" w:hAnsi="Times New Roman" w:eastAsia="仿宋_GB2312" w:cs="Times New Roman"/>
          <w:color w:val="000000"/>
          <w:sz w:val="32"/>
          <w:szCs w:val="28"/>
        </w:rPr>
        <w:t>我国基本实现社会主义现代化夯实基础、</w:t>
      </w:r>
      <w:r>
        <w:rPr>
          <w:rFonts w:hint="eastAsia" w:ascii="Times New Roman" w:hAnsi="Times New Roman" w:eastAsia="仿宋_GB2312" w:cs="Times New Roman"/>
          <w:color w:val="000000"/>
          <w:sz w:val="32"/>
          <w:szCs w:val="28"/>
        </w:rPr>
        <w:t>全面发力的关键时期，是花都区深入贯彻落实新发展理念，着力推动高质量发展，服务和融入新发展格局的重要五年。</w:t>
      </w:r>
      <w:r>
        <w:rPr>
          <w:rFonts w:ascii="Times New Roman" w:hAnsi="Times New Roman" w:eastAsia="仿宋_GB2312" w:cs="Times New Roman"/>
          <w:color w:val="000000"/>
          <w:sz w:val="32"/>
          <w:szCs w:val="28"/>
        </w:rPr>
        <w:t>为</w:t>
      </w:r>
      <w:r>
        <w:rPr>
          <w:rFonts w:hint="eastAsia" w:ascii="Times New Roman" w:hAnsi="Times New Roman" w:eastAsia="仿宋_GB2312" w:cs="Times New Roman"/>
          <w:color w:val="000000"/>
          <w:sz w:val="32"/>
          <w:szCs w:val="28"/>
        </w:rPr>
        <w:t>科学</w:t>
      </w:r>
      <w:r>
        <w:rPr>
          <w:rFonts w:ascii="Times New Roman" w:hAnsi="Times New Roman" w:eastAsia="仿宋_GB2312" w:cs="Times New Roman"/>
          <w:color w:val="000000"/>
          <w:sz w:val="32"/>
          <w:szCs w:val="28"/>
        </w:rPr>
        <w:t>谋划</w:t>
      </w:r>
      <w:r>
        <w:rPr>
          <w:rFonts w:hint="eastAsia" w:ascii="Times New Roman" w:hAnsi="Times New Roman" w:eastAsia="仿宋_GB2312" w:cs="Times New Roman"/>
          <w:color w:val="000000"/>
          <w:sz w:val="32"/>
          <w:szCs w:val="28"/>
        </w:rPr>
        <w:t>花都</w:t>
      </w:r>
      <w:r>
        <w:rPr>
          <w:rFonts w:ascii="Times New Roman" w:hAnsi="Times New Roman" w:eastAsia="仿宋_GB2312" w:cs="Times New Roman"/>
          <w:color w:val="000000"/>
          <w:sz w:val="32"/>
          <w:szCs w:val="28"/>
        </w:rPr>
        <w:t>区未来五年生态环境保护</w:t>
      </w:r>
      <w:r>
        <w:rPr>
          <w:rFonts w:hint="eastAsia" w:ascii="Times New Roman" w:hAnsi="Times New Roman" w:eastAsia="仿宋_GB2312" w:cs="Times New Roman"/>
          <w:color w:val="000000"/>
          <w:sz w:val="32"/>
          <w:szCs w:val="28"/>
        </w:rPr>
        <w:t>工作</w:t>
      </w:r>
      <w:r>
        <w:rPr>
          <w:rFonts w:ascii="Times New Roman" w:hAnsi="Times New Roman" w:eastAsia="仿宋_GB2312" w:cs="Times New Roman"/>
          <w:color w:val="000000"/>
          <w:sz w:val="32"/>
          <w:szCs w:val="28"/>
        </w:rPr>
        <w:t>，明确污染防治攻坚及生态环境保护</w:t>
      </w:r>
      <w:r>
        <w:rPr>
          <w:rFonts w:hint="eastAsia" w:ascii="Times New Roman" w:hAnsi="Times New Roman" w:eastAsia="仿宋_GB2312" w:cs="Times New Roman"/>
          <w:color w:val="000000"/>
          <w:sz w:val="32"/>
          <w:szCs w:val="28"/>
        </w:rPr>
        <w:t>重点</w:t>
      </w:r>
      <w:r>
        <w:rPr>
          <w:rFonts w:ascii="Times New Roman" w:hAnsi="Times New Roman" w:eastAsia="仿宋_GB2312" w:cs="Times New Roman"/>
          <w:color w:val="000000"/>
          <w:sz w:val="32"/>
          <w:szCs w:val="28"/>
        </w:rPr>
        <w:t>任务，协同推进经济高质量发展和生态环境高水平保护，编制</w:t>
      </w:r>
      <w:r>
        <w:rPr>
          <w:rFonts w:hint="eastAsia" w:ascii="Times New Roman" w:hAnsi="Times New Roman" w:eastAsia="仿宋_GB2312" w:cs="Times New Roman"/>
          <w:color w:val="000000"/>
          <w:sz w:val="32"/>
          <w:szCs w:val="28"/>
        </w:rPr>
        <w:t>本规划</w:t>
      </w:r>
      <w:r>
        <w:rPr>
          <w:rFonts w:ascii="Times New Roman" w:hAnsi="Times New Roman" w:eastAsia="仿宋_GB2312" w:cs="Times New Roman"/>
          <w:color w:val="000000"/>
          <w:sz w:val="32"/>
          <w:szCs w:val="28"/>
        </w:rPr>
        <w:t>。</w:t>
      </w:r>
    </w:p>
    <w:p w14:paraId="4651E660">
      <w:pPr>
        <w:widowControl/>
        <w:jc w:val="left"/>
        <w:rPr>
          <w:rFonts w:hint="eastAsia" w:ascii="仿宋" w:hAnsi="仿宋" w:eastAsia="仿宋"/>
          <w:b/>
          <w:bCs/>
          <w:sz w:val="28"/>
          <w:szCs w:val="28"/>
        </w:rPr>
      </w:pPr>
      <w:r>
        <w:rPr>
          <w:rFonts w:hint="eastAsia" w:ascii="仿宋" w:hAnsi="仿宋" w:eastAsia="仿宋"/>
          <w:b/>
          <w:bCs/>
          <w:sz w:val="28"/>
          <w:szCs w:val="28"/>
        </w:rPr>
        <w:br w:type="page"/>
      </w:r>
    </w:p>
    <w:p w14:paraId="659AB6BE">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3" w:name="_Toc240879622"/>
      <w:r>
        <w:rPr>
          <w:rFonts w:hint="eastAsia" w:ascii="Times New Roman" w:hAnsi="Times New Roman" w:eastAsia="黑体" w:cs="Times New Roman"/>
          <w:bCs/>
          <w:color w:val="auto"/>
          <w:sz w:val="32"/>
          <w:szCs w:val="32"/>
        </w:rPr>
        <w:t>第一章 工作基础</w:t>
      </w:r>
      <w:bookmarkEnd w:id="3"/>
    </w:p>
    <w:p w14:paraId="7B618889">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4" w:name="_Toc240879623"/>
      <w:r>
        <w:rPr>
          <w:rFonts w:hint="eastAsia" w:ascii="Times New Roman" w:hAnsi="Times New Roman" w:eastAsia="楷体" w:cs="Times New Roman"/>
          <w:bCs/>
          <w:color w:val="auto"/>
          <w:kern w:val="44"/>
          <w:sz w:val="32"/>
          <w:szCs w:val="44"/>
        </w:rPr>
        <w:t>第一节 “十四五”时期取得的工作成效</w:t>
      </w:r>
      <w:bookmarkEnd w:id="4"/>
    </w:p>
    <w:p w14:paraId="67BFF717">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一、生态环境持续改善</w:t>
      </w:r>
    </w:p>
    <w:p w14:paraId="5C810A82">
      <w:pPr>
        <w:snapToGrid w:val="0"/>
        <w:spacing w:line="560" w:lineRule="atLeas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“十四五”期间，花都区细颗粒物（PM</w:t>
      </w:r>
      <w:r>
        <w:rPr>
          <w:rFonts w:hint="eastAsia" w:ascii="仿宋" w:hAnsi="仿宋" w:eastAsia="仿宋" w:cs="Times New Roman"/>
          <w:sz w:val="32"/>
          <w:szCs w:val="32"/>
          <w:vertAlign w:val="subscript"/>
        </w:rPr>
        <w:t>2.5</w:t>
      </w:r>
      <w:r>
        <w:rPr>
          <w:rFonts w:hint="eastAsia" w:ascii="仿宋" w:hAnsi="仿宋" w:eastAsia="仿宋" w:cs="Times New Roman"/>
          <w:sz w:val="32"/>
          <w:szCs w:val="32"/>
        </w:rPr>
        <w:t>）年均浓度平均值为23微克/立方米，比“十三五”时期平均值下降约7微克/立方米，改善幅度达23.3%；2025年，全区优良天数比例达91.8%，环境空气质量综合指数连续7年排名全市前三。地表水国考、省考断面水质均达到上级考核目标，大坳断面水质连续两年（2024-2025年）达到Ⅲ类，流溪河李溪坝断面水质自2022年起稳定达到Ⅱ类，均较考核目标提升1个级别；全区饮用水水源地水质100%达标。流溪河入选国家美丽河湖优秀案例，花都湖、九湾潭水库等多个水体入选市级美丽河湖。土壤安全有效保障，实现重点建设用地安全利用率100%，受污染耕地安全利用率达100%。</w:t>
      </w:r>
    </w:p>
    <w:p w14:paraId="5D7CF471">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二、生态屏障更加牢固</w:t>
      </w:r>
    </w:p>
    <w:p w14:paraId="16689C0D">
      <w:pPr>
        <w:snapToGrid w:val="0"/>
        <w:spacing w:line="560" w:lineRule="atLeas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绿美花都生态建设成效显著。2025年，林地面积3.38万公顷，森林覆盖率达37％，累计完成森林质量优化提升面积14万亩，森林总蓄积量327.17万立方米。成功推动打造“中旅·阿那亚”等“森林+”新业态和森林康养产品，实现生态价值转换。2024年花都区荣获绿美广东竞风华全市一等奖，2025年获省林长制和绿美广东考核激励。</w:t>
      </w:r>
      <w:r>
        <w:rPr>
          <w:rFonts w:ascii="仿宋" w:hAnsi="仿宋" w:eastAsia="仿宋" w:cs="Times New Roman"/>
          <w:sz w:val="32"/>
          <w:szCs w:val="32"/>
        </w:rPr>
        <w:t>花都湖国家湿地公园通过验收并获“国家湿地公园”称号，2024年纳入国家植物园体系广州迁地保护示范区。</w:t>
      </w:r>
    </w:p>
    <w:p w14:paraId="556468A9">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三、绿色低碳发展成效显著</w:t>
      </w:r>
    </w:p>
    <w:p w14:paraId="69C3B37F">
      <w:pPr>
        <w:snapToGrid w:val="0"/>
        <w:spacing w:line="560" w:lineRule="atLeas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花都区被纳入省第一批“碳中和”试点示范市（区）建设单位名单和第一批碳达峰碳中和试点，全区全力做好“双碳”试点示范建设工作。截至2025年底，全区清洁能源装机容量达222.3万千瓦，光伏并网容量排名全市第一；城镇新建绿色建筑比例达100%，入选省首批县域“光伏+建筑”应用试点。</w:t>
      </w:r>
      <w:r>
        <w:rPr>
          <w:rFonts w:ascii="仿宋" w:hAnsi="仿宋" w:eastAsia="仿宋" w:cs="Times New Roman"/>
          <w:sz w:val="32"/>
          <w:szCs w:val="32"/>
        </w:rPr>
        <w:t>以花都为核心的绿色金融改革创新试验区连续四次排名全国第一，广州碳排放权交易中心碳配额累计交易量、总成交金额连续5年居全国区域碳市场首位。</w:t>
      </w:r>
    </w:p>
    <w:p w14:paraId="13CA0C7F">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四、“美丽花都”建设稳步推进</w:t>
      </w:r>
    </w:p>
    <w:p w14:paraId="494E1331">
      <w:pPr>
        <w:snapToGrid w:val="0"/>
        <w:spacing w:line="560" w:lineRule="atLeas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美丽区县建设步伐领先。印发《广州市花都区全面推进赤坭镇建设美丽中国先行镇工作实施方案》，率先启动全国首个乡镇层级美丽中国先行镇建设，创新“1+3+4+N”全域发展格局，土地综合整治项目成功获得国家开发银行4亿元授信及5.22亿元融资。</w:t>
      </w:r>
    </w:p>
    <w:p w14:paraId="53431B56">
      <w:pPr>
        <w:snapToGrid w:val="0"/>
        <w:spacing w:line="560" w:lineRule="atLeas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美丽乡村建设硕果累累。梯面镇获评“国家级生态乡镇”“广东省旅游风情小镇”“全国‘一村一品’示范镇”和第十一届中华环境奖。竹洞村入选“全国首批十个乡村旅游目的地”，塱头村入选中国传统村落、全国历史文化名村、2024世界旅游联盟乡村振兴案例。红山村获评中国美丽休闲乡村。梯面镇、花山镇、花东镇成功创建“广东省森林小镇”。马岭村等5个行政村入选广州市美丽乡村优秀案例。</w:t>
      </w:r>
    </w:p>
    <w:p w14:paraId="421BF449">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5" w:name="_Toc240879624"/>
      <w:r>
        <w:rPr>
          <w:rFonts w:hint="eastAsia" w:ascii="Times New Roman" w:hAnsi="Times New Roman" w:eastAsia="楷体" w:cs="Times New Roman"/>
          <w:bCs/>
          <w:color w:val="auto"/>
          <w:kern w:val="44"/>
          <w:sz w:val="32"/>
          <w:szCs w:val="44"/>
        </w:rPr>
        <w:t>第二节 “十五五”时期面临的形势与挑战</w:t>
      </w:r>
      <w:bookmarkEnd w:id="5"/>
    </w:p>
    <w:p w14:paraId="14249654">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（一）习近平生态文明思想为花都区生态环境保护工作提供了根本遵循</w:t>
      </w:r>
    </w:p>
    <w:p w14:paraId="5AA7BE79">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党的二十大</w:t>
      </w:r>
      <w:r>
        <w:rPr>
          <w:rFonts w:hint="eastAsia" w:ascii="仿宋" w:hAnsi="仿宋" w:eastAsia="仿宋" w:cs="仿宋_GB2312"/>
          <w:sz w:val="32"/>
          <w:szCs w:val="32"/>
          <w:lang w:eastAsia="zh-CN"/>
        </w:rPr>
        <w:t>报告</w:t>
      </w:r>
      <w:r>
        <w:rPr>
          <w:rFonts w:hint="eastAsia" w:ascii="仿宋" w:hAnsi="仿宋" w:eastAsia="仿宋" w:cs="仿宋_GB2312"/>
          <w:sz w:val="32"/>
          <w:szCs w:val="32"/>
        </w:rPr>
        <w:t>指出，中国式现代化是人与自然和谐共生的现代化，必须牢固树立和践行绿水青山就是金山银山的理念，站在人与自然和谐共生的高度谋划发展。党的二十届四中全会立足“十五五”时期进一步强调推进美丽中国建设、加快全面绿色转型。这为花都区</w:t>
      </w:r>
      <w:bookmarkStart w:id="67" w:name="_GoBack"/>
      <w:bookmarkEnd w:id="67"/>
      <w:r>
        <w:rPr>
          <w:rFonts w:hint="eastAsia" w:ascii="仿宋" w:hAnsi="仿宋" w:eastAsia="仿宋" w:cs="仿宋_GB2312"/>
          <w:sz w:val="32"/>
          <w:szCs w:val="32"/>
        </w:rPr>
        <w:t>新时代生态环境保护工作提供了行动指南和根本遵循。</w:t>
      </w:r>
    </w:p>
    <w:p w14:paraId="70431D5E">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（二）美丽中国建设为花都区先行示范提供了重大机遇</w:t>
      </w:r>
    </w:p>
    <w:p w14:paraId="59CA9130">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从国家出台《中共中央 国务院关于全面推进美丽中国建设的意见》，广东省印发实施《美丽广东建设规划纲要（2024—2035年）》，广州市出台《广州市打造美丽中国城市样板工作方案》《美丽广州建设规划纲要（2025—2035年）》，美丽中国建设蓝图徐徐铺开，花都区率先探索镇域美丽中国实践路径，赤坭镇成为全国首个美丽中国先行镇。国家、省、市、区政策同向叠加，为花都区先行示范、打造样板创造了难得机遇。</w:t>
      </w:r>
    </w:p>
    <w:p w14:paraId="4B30C9F6">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（三）经济社会转型升级和新一轮科技革命为生态环境改善提供内在动力</w:t>
      </w:r>
    </w:p>
    <w:p w14:paraId="29C0AEF2">
      <w:pPr>
        <w:spacing w:line="560" w:lineRule="exact"/>
        <w:ind w:firstLine="640" w:firstLineChars="200"/>
        <w:rPr>
          <w:rFonts w:hint="eastAsia" w:ascii="仿宋" w:hAnsi="仿宋" w:eastAsia="仿宋" w:cs="仿宋_GB2312"/>
          <w:bCs/>
          <w:sz w:val="32"/>
          <w:szCs w:val="32"/>
        </w:rPr>
      </w:pPr>
      <w:r>
        <w:rPr>
          <w:rFonts w:hint="eastAsia" w:ascii="仿宋" w:hAnsi="仿宋" w:eastAsia="仿宋" w:cs="仿宋_GB2312"/>
          <w:sz w:val="32"/>
          <w:szCs w:val="32"/>
        </w:rPr>
        <w:t>“十五五”时期，随着新型工业化、发展新质生产力等决策部署的贯彻落实及持续深化，以及“双碳”目标成为全社会的共识，</w:t>
      </w:r>
      <w:r>
        <w:rPr>
          <w:rFonts w:hint="eastAsia" w:ascii="仿宋" w:hAnsi="仿宋" w:eastAsia="仿宋" w:cs="仿宋_GB2312"/>
          <w:bCs/>
          <w:sz w:val="32"/>
          <w:szCs w:val="32"/>
        </w:rPr>
        <w:t>将从根本环节促进绿色发展，为生态环境保护工作带来积极影响。与此同时，产业技术创新变革，</w:t>
      </w:r>
      <w:r>
        <w:rPr>
          <w:rFonts w:hint="eastAsia" w:ascii="仿宋" w:hAnsi="仿宋" w:eastAsia="仿宋" w:cs="仿宋_GB2312"/>
          <w:sz w:val="32"/>
          <w:szCs w:val="32"/>
        </w:rPr>
        <w:t>人工智能、物联网、大数据、云计算</w:t>
      </w:r>
      <w:r>
        <w:rPr>
          <w:rFonts w:hint="eastAsia" w:ascii="仿宋" w:hAnsi="仿宋" w:eastAsia="仿宋" w:cs="仿宋_GB2312"/>
          <w:bCs/>
          <w:sz w:val="32"/>
          <w:szCs w:val="32"/>
        </w:rPr>
        <w:t>等新技术、新业态将给生态环境治理带来新手段、新模式，为实现智慧环保注入新动能。</w:t>
      </w:r>
    </w:p>
    <w:p w14:paraId="727D695D">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（四）生态环境质量仍有提升空间</w:t>
      </w:r>
    </w:p>
    <w:p w14:paraId="503FF78A">
      <w:pPr>
        <w:keepNext/>
        <w:keepLines/>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空气质量综合指数逐年下降，但治理边际成本不断增大，臭氧与颗粒物协同控制仍需深化，VOCs治理设施效率仍需进一步提高。河涌截污不完全，水体承载超负荷现象短期内难以解决，老旧城区污水处理设施配套管网建设有待完善。地块土壤修复资金缺口大，技术难度高，修复周期长，影响土壤环境安全。</w:t>
      </w:r>
    </w:p>
    <w:p w14:paraId="4108528F">
      <w:pPr>
        <w:snapToGrid w:val="0"/>
        <w:spacing w:line="560" w:lineRule="atLeas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（五）超大城市防范生态环境风险任务更为艰巨</w:t>
      </w:r>
    </w:p>
    <w:p w14:paraId="7754013A">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“十五五”期间，高</w:t>
      </w:r>
      <w:r>
        <w:rPr>
          <w:rFonts w:hint="eastAsia" w:ascii="仿宋" w:hAnsi="仿宋" w:eastAsia="仿宋" w:cs="仿宋_GB2312"/>
          <w:sz w:val="32"/>
          <w:szCs w:val="32"/>
          <w:lang w:eastAsia="zh-CN"/>
        </w:rPr>
        <w:t>质量</w:t>
      </w:r>
      <w:r>
        <w:rPr>
          <w:rFonts w:hint="eastAsia" w:ascii="仿宋" w:hAnsi="仿宋" w:eastAsia="仿宋" w:cs="仿宋_GB2312"/>
          <w:sz w:val="32"/>
          <w:szCs w:val="32"/>
        </w:rPr>
        <w:t>城市更新仍是土地空间开发的主要方向，产城融合趋势下“邻避”风险将更加突出，噪声扰民问题尚未得到根本解决。环境风险、城市生态系统风险防范压力持续加大，生物多样性保护、气候变化主动应对、新污染物防治、环境健康管理、建筑垃圾处置等工作需进一步加强，生态环境风险全过程、全链条防范体系需进一步完善。</w:t>
      </w:r>
    </w:p>
    <w:p w14:paraId="054947B1">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6" w:name="_Toc240879625"/>
      <w:r>
        <w:rPr>
          <w:rFonts w:hint="eastAsia" w:ascii="Times New Roman" w:hAnsi="Times New Roman" w:eastAsia="黑体" w:cs="Times New Roman"/>
          <w:bCs/>
          <w:color w:val="auto"/>
          <w:sz w:val="32"/>
          <w:szCs w:val="32"/>
        </w:rPr>
        <w:t>第二章 总体要求</w:t>
      </w:r>
      <w:bookmarkEnd w:id="6"/>
    </w:p>
    <w:p w14:paraId="674FF783">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7" w:name="_Toc240879626"/>
      <w:r>
        <w:rPr>
          <w:rFonts w:hint="eastAsia" w:ascii="Times New Roman" w:hAnsi="Times New Roman" w:eastAsia="楷体" w:cs="Times New Roman"/>
          <w:bCs/>
          <w:color w:val="auto"/>
          <w:kern w:val="44"/>
          <w:sz w:val="32"/>
          <w:szCs w:val="44"/>
        </w:rPr>
        <w:t>第一节 指导思想</w:t>
      </w:r>
      <w:bookmarkEnd w:id="7"/>
    </w:p>
    <w:p w14:paraId="7A24C174">
      <w:pPr>
        <w:spacing w:line="560" w:lineRule="exact"/>
        <w:ind w:firstLine="640" w:firstLineChars="200"/>
        <w:rPr>
          <w:rFonts w:ascii="Times New Roman" w:hAnsi="Times New Roman" w:eastAsia="仿宋" w:cs="Times New Roman"/>
          <w:sz w:val="32"/>
          <w:szCs w:val="20"/>
        </w:rPr>
      </w:pPr>
      <w:r>
        <w:rPr>
          <w:rFonts w:hint="eastAsia" w:ascii="Times New Roman" w:hAnsi="Times New Roman" w:eastAsia="仿宋" w:cs="Times New Roman"/>
          <w:sz w:val="32"/>
          <w:szCs w:val="20"/>
        </w:rPr>
        <w:t>以习近平新时代中国特色社会主义思想为指导，全面贯彻党的二十大和二十届历次全会精神，深入贯彻习近平生态文明思想，牢固树立和践行绿水青山就是金山银山的理念，认真贯彻习近平总书记在全国生态环境保护大会上的重要讲话和视察广东重要讲话、重要指示精神，落实全国、全省、全市生态环境保护大会部署要求，落实省委“1310”具体部署和市委“1312”思路举措，以绿美广州生态建设为牵引，以推进美丽城市建设为核心，推动经济社会发展全面绿色转型，积极稳妥推进碳达峰碳中和，持续深入打好污染防治攻坚战，着力提升生态系统多样性、稳定性，推动生态环境全面改善，守牢生态环境安全底线，落实深化生态文明体制改革，在推进人与自然和谐共生的中国式现代化中走前列、挑大梁，为广州加快实现老城市新活力、“四个出新出彩”提供绿色动能和作出花都贡献。</w:t>
      </w:r>
    </w:p>
    <w:p w14:paraId="3BF90179">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8" w:name="_Toc240879627"/>
      <w:r>
        <w:rPr>
          <w:rFonts w:hint="eastAsia" w:ascii="Times New Roman" w:hAnsi="Times New Roman" w:eastAsia="楷体" w:cs="Times New Roman"/>
          <w:bCs/>
          <w:color w:val="auto"/>
          <w:kern w:val="44"/>
          <w:sz w:val="32"/>
          <w:szCs w:val="44"/>
        </w:rPr>
        <w:t>第二节 规划目标</w:t>
      </w:r>
      <w:bookmarkEnd w:id="8"/>
    </w:p>
    <w:p w14:paraId="03A076EE">
      <w:pPr>
        <w:spacing w:line="560" w:lineRule="exact"/>
        <w:ind w:firstLine="640" w:firstLineChars="200"/>
        <w:rPr>
          <w:rFonts w:ascii="Times New Roman" w:hAnsi="Times New Roman" w:eastAsia="仿宋" w:cs="Times New Roman"/>
          <w:sz w:val="32"/>
          <w:szCs w:val="20"/>
        </w:rPr>
      </w:pPr>
      <w:r>
        <w:rPr>
          <w:rFonts w:ascii="Times New Roman" w:hAnsi="Times New Roman" w:eastAsia="仿宋" w:cs="Times New Roman"/>
          <w:sz w:val="32"/>
          <w:szCs w:val="20"/>
        </w:rPr>
        <w:t>到2030年，</w:t>
      </w:r>
      <w:r>
        <w:rPr>
          <w:rFonts w:hint="eastAsia" w:ascii="Times New Roman" w:hAnsi="Times New Roman" w:eastAsia="仿宋" w:cs="Times New Roman"/>
          <w:sz w:val="32"/>
          <w:szCs w:val="20"/>
        </w:rPr>
        <w:t>以汽车、临空制造为代表的重点行业绿色低碳转型实现突破</w:t>
      </w:r>
      <w:r>
        <w:rPr>
          <w:rFonts w:ascii="Times New Roman" w:hAnsi="Times New Roman" w:eastAsia="仿宋" w:cs="Times New Roman"/>
          <w:sz w:val="32"/>
          <w:szCs w:val="20"/>
        </w:rPr>
        <w:t>，实现碳排放达峰，生态环境全面改善，</w:t>
      </w:r>
      <w:r>
        <w:rPr>
          <w:rFonts w:hint="eastAsia" w:ascii="Times New Roman" w:hAnsi="Times New Roman" w:eastAsia="仿宋" w:cs="Times New Roman"/>
          <w:sz w:val="32"/>
          <w:szCs w:val="20"/>
        </w:rPr>
        <w:t>“一湾两带多廊”的生态空间格局更加稳定，</w:t>
      </w:r>
      <w:r>
        <w:rPr>
          <w:rFonts w:ascii="Times New Roman" w:hAnsi="Times New Roman" w:eastAsia="仿宋" w:cs="Times New Roman"/>
          <w:sz w:val="32"/>
          <w:szCs w:val="20"/>
        </w:rPr>
        <w:t>生态系统多样性稳定性持续性显著提升，生态环境安全有效保障，生态文明体制改革持续深化，</w:t>
      </w:r>
      <w:r>
        <w:rPr>
          <w:rFonts w:hint="eastAsia" w:ascii="Times New Roman" w:hAnsi="Times New Roman" w:eastAsia="仿宋" w:cs="Times New Roman"/>
          <w:sz w:val="32"/>
          <w:szCs w:val="20"/>
        </w:rPr>
        <w:t>“智造立区、枢纽强区、生态美区”的</w:t>
      </w:r>
      <w:r>
        <w:rPr>
          <w:rFonts w:ascii="Times New Roman" w:hAnsi="Times New Roman" w:eastAsia="仿宋" w:cs="Times New Roman"/>
          <w:sz w:val="32"/>
          <w:szCs w:val="20"/>
        </w:rPr>
        <w:t>绿色生产生活方式广泛形成，人民群众</w:t>
      </w:r>
      <w:r>
        <w:rPr>
          <w:rFonts w:hint="eastAsia" w:ascii="Times New Roman" w:hAnsi="Times New Roman" w:eastAsia="仿宋" w:cs="Times New Roman"/>
          <w:sz w:val="32"/>
          <w:szCs w:val="20"/>
        </w:rPr>
        <w:t>优美</w:t>
      </w:r>
      <w:r>
        <w:rPr>
          <w:rFonts w:ascii="Times New Roman" w:hAnsi="Times New Roman" w:eastAsia="仿宋" w:cs="Times New Roman"/>
          <w:sz w:val="32"/>
          <w:szCs w:val="20"/>
        </w:rPr>
        <w:t>生态环境获得感、幸福感和安全感持续增强。</w:t>
      </w:r>
    </w:p>
    <w:p w14:paraId="3DFF4B86">
      <w:pPr>
        <w:spacing w:line="560" w:lineRule="exact"/>
        <w:ind w:firstLine="640" w:firstLineChars="200"/>
        <w:rPr>
          <w:rFonts w:ascii="Times New Roman" w:hAnsi="Times New Roman" w:eastAsia="仿宋" w:cs="Times New Roman"/>
          <w:sz w:val="32"/>
          <w:szCs w:val="20"/>
        </w:rPr>
      </w:pPr>
      <w:r>
        <w:rPr>
          <w:rFonts w:ascii="Times New Roman" w:hAnsi="Times New Roman" w:eastAsia="仿宋" w:cs="Times New Roman"/>
          <w:sz w:val="32"/>
          <w:szCs w:val="20"/>
        </w:rPr>
        <w:t>展望2035年，</w:t>
      </w:r>
      <w:r>
        <w:rPr>
          <w:rFonts w:hint="eastAsia" w:ascii="Times New Roman" w:hAnsi="Times New Roman" w:eastAsia="仿宋" w:cs="Times New Roman"/>
          <w:sz w:val="32"/>
          <w:szCs w:val="20"/>
        </w:rPr>
        <w:t>“北部增长极”与“世界级航空都会区”的绿色发展内涵充分彰显，</w:t>
      </w:r>
      <w:r>
        <w:rPr>
          <w:rFonts w:ascii="Times New Roman" w:hAnsi="Times New Roman" w:eastAsia="仿宋" w:cs="Times New Roman"/>
          <w:sz w:val="32"/>
          <w:szCs w:val="20"/>
        </w:rPr>
        <w:t>人与自然和谐共生的美丽</w:t>
      </w:r>
      <w:r>
        <w:rPr>
          <w:rFonts w:hint="eastAsia" w:ascii="Times New Roman" w:hAnsi="Times New Roman" w:eastAsia="仿宋" w:cs="Times New Roman"/>
          <w:sz w:val="32"/>
          <w:szCs w:val="20"/>
        </w:rPr>
        <w:t>花都</w:t>
      </w:r>
      <w:r>
        <w:rPr>
          <w:rFonts w:ascii="Times New Roman" w:hAnsi="Times New Roman" w:eastAsia="仿宋" w:cs="Times New Roman"/>
          <w:sz w:val="32"/>
          <w:szCs w:val="20"/>
        </w:rPr>
        <w:t>全面建成，经济社会发展全面进入绿色低碳轨道，碳排放达峰后稳中有降，生态环境根本好转，生态系统多样性稳定性持续性全面提升，生态环境安全更加稳固，智慧高效生态环境数字化治理体系全面建成，</w:t>
      </w:r>
      <w:r>
        <w:rPr>
          <w:rFonts w:hint="eastAsia" w:ascii="Times New Roman" w:hAnsi="Times New Roman" w:eastAsia="仿宋" w:cs="Times New Roman"/>
          <w:sz w:val="32"/>
          <w:szCs w:val="20"/>
        </w:rPr>
        <w:t>“智造立区、枢纽强区、生态美区”的</w:t>
      </w:r>
      <w:r>
        <w:rPr>
          <w:rFonts w:ascii="Times New Roman" w:hAnsi="Times New Roman" w:eastAsia="仿宋" w:cs="Times New Roman"/>
          <w:sz w:val="32"/>
          <w:szCs w:val="20"/>
        </w:rPr>
        <w:t>绿色生产生活方式全面形成，天蓝、地绿、水清的城乡人居环境更加优美。</w:t>
      </w:r>
    </w:p>
    <w:p w14:paraId="5ABA5799">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9" w:name="_Toc240879628"/>
      <w:r>
        <w:rPr>
          <w:rFonts w:hint="eastAsia" w:ascii="Times New Roman" w:hAnsi="Times New Roman" w:eastAsia="楷体" w:cs="Times New Roman"/>
          <w:bCs/>
          <w:color w:val="auto"/>
          <w:kern w:val="44"/>
          <w:sz w:val="32"/>
          <w:szCs w:val="44"/>
        </w:rPr>
        <w:t>第三节 指标体系</w:t>
      </w:r>
      <w:bookmarkEnd w:id="9"/>
    </w:p>
    <w:p w14:paraId="535F1C0E">
      <w:pPr>
        <w:spacing w:line="560" w:lineRule="exact"/>
        <w:ind w:firstLine="640" w:firstLineChars="200"/>
        <w:rPr>
          <w:rFonts w:ascii="Times New Roman" w:hAnsi="Times New Roman" w:eastAsia="仿宋" w:cs="Times New Roman"/>
          <w:color w:val="EE0000"/>
          <w:sz w:val="32"/>
          <w:szCs w:val="20"/>
        </w:rPr>
      </w:pPr>
      <w:r>
        <w:rPr>
          <w:rFonts w:ascii="Times New Roman" w:hAnsi="Times New Roman" w:eastAsia="仿宋_GB2312" w:cs="Times New Roman"/>
          <w:sz w:val="32"/>
        </w:rPr>
        <w:t>本规划的指标体系包括绿色生产生活方式、环境质量改善、生态系统保护、环境风险防控、美丽系列建设5个领域，共设置2</w:t>
      </w:r>
      <w:r>
        <w:rPr>
          <w:rFonts w:hint="eastAsia" w:ascii="Times New Roman" w:hAnsi="Times New Roman" w:eastAsia="仿宋_GB2312" w:cs="Times New Roman"/>
          <w:sz w:val="32"/>
        </w:rPr>
        <w:t>0项指标，其中约束性指标</w:t>
      </w:r>
      <w:r>
        <w:rPr>
          <w:rFonts w:ascii="Times New Roman" w:hAnsi="Times New Roman" w:eastAsia="仿宋_GB2312" w:cs="Times New Roman"/>
          <w:sz w:val="32"/>
        </w:rPr>
        <w:t>5</w:t>
      </w:r>
      <w:r>
        <w:rPr>
          <w:rFonts w:hint="eastAsia" w:ascii="Times New Roman" w:hAnsi="Times New Roman" w:eastAsia="仿宋_GB2312" w:cs="Times New Roman"/>
          <w:sz w:val="32"/>
        </w:rPr>
        <w:t>项，预期性指标</w:t>
      </w:r>
      <w:r>
        <w:rPr>
          <w:rFonts w:ascii="Times New Roman" w:hAnsi="Times New Roman" w:eastAsia="仿宋_GB2312" w:cs="Times New Roman"/>
          <w:sz w:val="32"/>
        </w:rPr>
        <w:t>1</w:t>
      </w:r>
      <w:r>
        <w:rPr>
          <w:rFonts w:hint="eastAsia" w:ascii="Times New Roman" w:hAnsi="Times New Roman" w:eastAsia="仿宋_GB2312" w:cs="Times New Roman"/>
          <w:sz w:val="32"/>
        </w:rPr>
        <w:t>5项</w:t>
      </w:r>
      <w:r>
        <w:rPr>
          <w:rFonts w:ascii="Times New Roman" w:hAnsi="Times New Roman" w:eastAsia="仿宋_GB2312" w:cs="Times New Roman"/>
          <w:sz w:val="32"/>
        </w:rPr>
        <w:t>。具体见下表。</w:t>
      </w:r>
    </w:p>
    <w:p w14:paraId="717FDD02">
      <w:pPr>
        <w:keepNext/>
        <w:spacing w:line="560" w:lineRule="exact"/>
        <w:jc w:val="center"/>
        <w:rPr>
          <w:rFonts w:ascii="Times New Roman" w:hAnsi="Times New Roman" w:eastAsia="黑体" w:cs="Times New Roman"/>
          <w:sz w:val="28"/>
          <w:szCs w:val="28"/>
        </w:rPr>
      </w:pPr>
      <w:r>
        <w:rPr>
          <w:rFonts w:hint="eastAsia" w:ascii="Times New Roman" w:hAnsi="Times New Roman" w:eastAsia="黑体" w:cs="Times New Roman"/>
          <w:sz w:val="28"/>
          <w:szCs w:val="28"/>
        </w:rPr>
        <w:t>表</w:t>
      </w:r>
      <w:r>
        <w:rPr>
          <w:rFonts w:hint="eastAsia" w:ascii="Times New Roman" w:hAnsi="Times New Roman" w:eastAsia="黑体" w:cs="Times New Roman"/>
          <w:sz w:val="28"/>
          <w:szCs w:val="28"/>
        </w:rPr>
        <w:fldChar w:fldCharType="begin"/>
      </w:r>
      <w:r>
        <w:rPr>
          <w:rFonts w:hint="eastAsia" w:ascii="Times New Roman" w:hAnsi="Times New Roman" w:eastAsia="黑体" w:cs="Times New Roman"/>
          <w:sz w:val="28"/>
          <w:szCs w:val="28"/>
        </w:rPr>
        <w:instrText xml:space="preserve"> SEQ 表 \* ARABIC </w:instrText>
      </w:r>
      <w:r>
        <w:rPr>
          <w:rFonts w:hint="eastAsia" w:ascii="Times New Roman" w:hAnsi="Times New Roman" w:eastAsia="黑体" w:cs="Times New Roman"/>
          <w:sz w:val="28"/>
          <w:szCs w:val="28"/>
        </w:rPr>
        <w:fldChar w:fldCharType="separate"/>
      </w:r>
      <w:r>
        <w:rPr>
          <w:rFonts w:hint="eastAsia" w:ascii="Times New Roman" w:hAnsi="Times New Roman" w:eastAsia="黑体" w:cs="Times New Roman"/>
          <w:sz w:val="28"/>
          <w:szCs w:val="28"/>
        </w:rPr>
        <w:t>1</w:t>
      </w:r>
      <w:r>
        <w:rPr>
          <w:rFonts w:hint="eastAsia" w:ascii="Times New Roman" w:hAnsi="Times New Roman" w:eastAsia="黑体" w:cs="Times New Roman"/>
          <w:sz w:val="28"/>
          <w:szCs w:val="28"/>
        </w:rPr>
        <w:fldChar w:fldCharType="end"/>
      </w:r>
      <w:r>
        <w:rPr>
          <w:rFonts w:hint="eastAsia" w:ascii="Times New Roman" w:hAnsi="Times New Roman" w:eastAsia="黑体" w:cs="Times New Roman"/>
          <w:sz w:val="28"/>
          <w:szCs w:val="28"/>
        </w:rPr>
        <w:t xml:space="preserve"> 花都区生态环境保护</w:t>
      </w:r>
      <w:r>
        <w:rPr>
          <w:rFonts w:hint="eastAsia" w:ascii="仿宋" w:hAnsi="仿宋" w:eastAsia="仿宋" w:cs="Times New Roman"/>
          <w:sz w:val="28"/>
          <w:szCs w:val="28"/>
        </w:rPr>
        <w:t>“</w:t>
      </w:r>
      <w:r>
        <w:rPr>
          <w:rFonts w:hint="eastAsia" w:ascii="Times New Roman" w:hAnsi="Times New Roman" w:eastAsia="黑体" w:cs="Times New Roman"/>
          <w:sz w:val="28"/>
          <w:szCs w:val="28"/>
        </w:rPr>
        <w:t>十五五</w:t>
      </w:r>
      <w:r>
        <w:rPr>
          <w:rFonts w:hint="eastAsia" w:ascii="仿宋" w:hAnsi="仿宋" w:eastAsia="仿宋" w:cs="Times New Roman"/>
          <w:sz w:val="28"/>
          <w:szCs w:val="28"/>
        </w:rPr>
        <w:t>”</w:t>
      </w:r>
      <w:r>
        <w:rPr>
          <w:rFonts w:hint="eastAsia" w:ascii="Times New Roman" w:hAnsi="Times New Roman" w:eastAsia="黑体" w:cs="Times New Roman"/>
          <w:sz w:val="28"/>
          <w:szCs w:val="28"/>
        </w:rPr>
        <w:t>规划指标</w:t>
      </w:r>
    </w:p>
    <w:tbl>
      <w:tblPr>
        <w:tblStyle w:val="48"/>
        <w:tblW w:w="52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470"/>
        <w:gridCol w:w="468"/>
        <w:gridCol w:w="1352"/>
        <w:gridCol w:w="726"/>
        <w:gridCol w:w="1604"/>
        <w:gridCol w:w="1309"/>
        <w:gridCol w:w="1457"/>
        <w:gridCol w:w="1013"/>
      </w:tblGrid>
      <w:tr w14:paraId="02BD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6" w:type="pct"/>
            <w:vAlign w:val="center"/>
          </w:tcPr>
          <w:p w14:paraId="1705F91B">
            <w:pPr>
              <w:jc w:val="center"/>
              <w:rPr>
                <w:rFonts w:hint="eastAsia" w:ascii="宋体" w:hAnsi="宋体" w:eastAsia="宋体" w:cs="Times New Roman"/>
                <w:b/>
                <w:kern w:val="0"/>
                <w:sz w:val="24"/>
                <w:szCs w:val="24"/>
              </w:rPr>
            </w:pPr>
            <w:r>
              <w:rPr>
                <w:rFonts w:ascii="宋体" w:hAnsi="宋体" w:eastAsia="宋体" w:cs="Times New Roman"/>
                <w:b/>
                <w:kern w:val="0"/>
                <w:sz w:val="24"/>
                <w:szCs w:val="24"/>
              </w:rPr>
              <w:t>领域</w:t>
            </w:r>
          </w:p>
        </w:tc>
        <w:tc>
          <w:tcPr>
            <w:tcW w:w="265" w:type="pct"/>
            <w:vAlign w:val="center"/>
          </w:tcPr>
          <w:p w14:paraId="5B32496A">
            <w:pPr>
              <w:jc w:val="center"/>
              <w:rPr>
                <w:rFonts w:hint="eastAsia" w:ascii="宋体" w:hAnsi="宋体" w:eastAsia="宋体" w:cs="Times New Roman"/>
                <w:b/>
                <w:kern w:val="0"/>
                <w:sz w:val="24"/>
                <w:szCs w:val="24"/>
              </w:rPr>
            </w:pPr>
            <w:r>
              <w:rPr>
                <w:rFonts w:ascii="宋体" w:hAnsi="宋体" w:eastAsia="宋体" w:cs="Times New Roman"/>
                <w:b/>
                <w:kern w:val="0"/>
                <w:sz w:val="24"/>
                <w:szCs w:val="24"/>
              </w:rPr>
              <w:t>序号</w:t>
            </w:r>
          </w:p>
        </w:tc>
        <w:tc>
          <w:tcPr>
            <w:tcW w:w="1026" w:type="pct"/>
            <w:gridSpan w:val="2"/>
            <w:vAlign w:val="center"/>
          </w:tcPr>
          <w:p w14:paraId="333741B9">
            <w:pPr>
              <w:jc w:val="center"/>
              <w:rPr>
                <w:rFonts w:hint="eastAsia" w:ascii="宋体" w:hAnsi="宋体" w:eastAsia="宋体" w:cs="Times New Roman"/>
                <w:b/>
                <w:kern w:val="0"/>
                <w:sz w:val="24"/>
                <w:szCs w:val="24"/>
              </w:rPr>
            </w:pPr>
            <w:r>
              <w:rPr>
                <w:rFonts w:ascii="宋体" w:hAnsi="宋体" w:eastAsia="宋体" w:cs="Times New Roman"/>
                <w:b/>
                <w:kern w:val="0"/>
                <w:sz w:val="24"/>
                <w:szCs w:val="24"/>
              </w:rPr>
              <w:t>指标名称</w:t>
            </w:r>
          </w:p>
        </w:tc>
        <w:tc>
          <w:tcPr>
            <w:tcW w:w="409" w:type="pct"/>
            <w:vAlign w:val="center"/>
          </w:tcPr>
          <w:p w14:paraId="69E1245B">
            <w:pPr>
              <w:jc w:val="center"/>
              <w:rPr>
                <w:rFonts w:hint="eastAsia" w:ascii="宋体" w:hAnsi="宋体" w:eastAsia="宋体" w:cs="Times New Roman"/>
                <w:b/>
                <w:kern w:val="0"/>
                <w:sz w:val="24"/>
                <w:szCs w:val="24"/>
              </w:rPr>
            </w:pPr>
            <w:r>
              <w:rPr>
                <w:rFonts w:ascii="宋体" w:hAnsi="宋体" w:eastAsia="宋体" w:cs="Times New Roman"/>
                <w:b/>
                <w:kern w:val="0"/>
                <w:sz w:val="24"/>
                <w:szCs w:val="24"/>
              </w:rPr>
              <w:t>单位</w:t>
            </w:r>
          </w:p>
        </w:tc>
        <w:tc>
          <w:tcPr>
            <w:tcW w:w="904" w:type="pct"/>
            <w:vAlign w:val="center"/>
          </w:tcPr>
          <w:p w14:paraId="7D3CA234">
            <w:pPr>
              <w:widowControl/>
              <w:jc w:val="center"/>
              <w:rPr>
                <w:rFonts w:hint="eastAsia" w:ascii="宋体" w:hAnsi="宋体" w:eastAsia="宋体" w:cs="Times New Roman"/>
                <w:b/>
                <w:kern w:val="0"/>
                <w:sz w:val="24"/>
                <w:szCs w:val="24"/>
              </w:rPr>
            </w:pPr>
            <w:r>
              <w:rPr>
                <w:rFonts w:ascii="宋体" w:hAnsi="宋体" w:eastAsia="宋体" w:cs="Times New Roman"/>
                <w:b/>
                <w:kern w:val="0"/>
                <w:sz w:val="24"/>
                <w:szCs w:val="24"/>
              </w:rPr>
              <w:t>现状值（2025年）</w:t>
            </w:r>
          </w:p>
        </w:tc>
        <w:tc>
          <w:tcPr>
            <w:tcW w:w="738" w:type="pct"/>
            <w:vAlign w:val="center"/>
          </w:tcPr>
          <w:p w14:paraId="1A279B5B">
            <w:pPr>
              <w:widowControl/>
              <w:jc w:val="center"/>
              <w:rPr>
                <w:rFonts w:hint="eastAsia" w:ascii="宋体" w:hAnsi="宋体" w:eastAsia="宋体" w:cs="Times New Roman"/>
                <w:b/>
                <w:kern w:val="0"/>
                <w:sz w:val="24"/>
                <w:szCs w:val="24"/>
              </w:rPr>
            </w:pPr>
            <w:r>
              <w:rPr>
                <w:rFonts w:ascii="宋体" w:hAnsi="宋体" w:eastAsia="宋体" w:cs="Times New Roman"/>
                <w:b/>
                <w:kern w:val="0"/>
                <w:sz w:val="24"/>
                <w:szCs w:val="24"/>
              </w:rPr>
              <w:t>规划值</w:t>
            </w:r>
          </w:p>
        </w:tc>
        <w:tc>
          <w:tcPr>
            <w:tcW w:w="821" w:type="pct"/>
            <w:vAlign w:val="center"/>
          </w:tcPr>
          <w:p w14:paraId="7C7FAC46">
            <w:pPr>
              <w:widowControl/>
              <w:jc w:val="center"/>
              <w:rPr>
                <w:rFonts w:hint="eastAsia" w:ascii="宋体" w:hAnsi="宋体" w:eastAsia="宋体" w:cs="Times New Roman"/>
                <w:b/>
                <w:kern w:val="0"/>
                <w:sz w:val="24"/>
                <w:szCs w:val="24"/>
              </w:rPr>
            </w:pPr>
            <w:r>
              <w:rPr>
                <w:rFonts w:ascii="宋体" w:hAnsi="宋体" w:eastAsia="宋体" w:cs="Times New Roman"/>
                <w:b/>
                <w:kern w:val="0"/>
                <w:sz w:val="24"/>
                <w:szCs w:val="24"/>
              </w:rPr>
              <w:t>责任部门</w:t>
            </w:r>
          </w:p>
        </w:tc>
        <w:tc>
          <w:tcPr>
            <w:tcW w:w="571" w:type="pct"/>
            <w:vAlign w:val="center"/>
          </w:tcPr>
          <w:p w14:paraId="4900FECD">
            <w:pPr>
              <w:jc w:val="center"/>
              <w:rPr>
                <w:rFonts w:hint="eastAsia" w:ascii="宋体" w:hAnsi="宋体" w:eastAsia="宋体" w:cs="Times New Roman"/>
                <w:b/>
                <w:kern w:val="0"/>
                <w:sz w:val="24"/>
                <w:szCs w:val="24"/>
              </w:rPr>
            </w:pPr>
            <w:r>
              <w:rPr>
                <w:rFonts w:ascii="宋体" w:hAnsi="宋体" w:eastAsia="宋体" w:cs="Times New Roman"/>
                <w:b/>
                <w:kern w:val="0"/>
                <w:sz w:val="24"/>
                <w:szCs w:val="24"/>
              </w:rPr>
              <w:t>指标属性</w:t>
            </w:r>
          </w:p>
        </w:tc>
      </w:tr>
      <w:tr w14:paraId="6825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restart"/>
            <w:vAlign w:val="center"/>
          </w:tcPr>
          <w:p w14:paraId="76787C58">
            <w:pPr>
              <w:jc w:val="center"/>
              <w:rPr>
                <w:rFonts w:hint="eastAsia" w:ascii="宋体" w:hAnsi="宋体" w:eastAsia="宋体" w:cs="Times New Roman"/>
                <w:kern w:val="0"/>
                <w:sz w:val="24"/>
                <w:szCs w:val="24"/>
              </w:rPr>
            </w:pPr>
            <w:r>
              <w:rPr>
                <w:rFonts w:ascii="宋体" w:hAnsi="宋体" w:eastAsia="宋体" w:cs="Times New Roman"/>
                <w:kern w:val="0"/>
                <w:sz w:val="24"/>
                <w:szCs w:val="24"/>
              </w:rPr>
              <w:t>绿色生产生活方式</w:t>
            </w:r>
          </w:p>
        </w:tc>
        <w:tc>
          <w:tcPr>
            <w:tcW w:w="265" w:type="pct"/>
            <w:vAlign w:val="center"/>
          </w:tcPr>
          <w:p w14:paraId="07472E77">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50CE2D52">
            <w:pPr>
              <w:jc w:val="center"/>
              <w:rPr>
                <w:rFonts w:hint="eastAsia" w:ascii="宋体" w:hAnsi="宋体" w:eastAsia="宋体" w:cs="Times New Roman"/>
                <w:kern w:val="0"/>
                <w:sz w:val="24"/>
                <w:szCs w:val="24"/>
              </w:rPr>
            </w:pPr>
            <w:r>
              <w:rPr>
                <w:rFonts w:ascii="宋体" w:hAnsi="宋体" w:eastAsia="宋体" w:cs="Times New Roman"/>
                <w:kern w:val="0"/>
                <w:sz w:val="24"/>
                <w:szCs w:val="24"/>
              </w:rPr>
              <w:t>单位地区生产总值二氧化碳排放降低</w:t>
            </w:r>
          </w:p>
        </w:tc>
        <w:tc>
          <w:tcPr>
            <w:tcW w:w="409" w:type="pct"/>
            <w:vAlign w:val="center"/>
          </w:tcPr>
          <w:p w14:paraId="10AD956F">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6E4A735A">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738" w:type="pct"/>
            <w:vAlign w:val="center"/>
          </w:tcPr>
          <w:p w14:paraId="39382E18">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完成市下达目标</w:t>
            </w:r>
          </w:p>
        </w:tc>
        <w:tc>
          <w:tcPr>
            <w:tcW w:w="821" w:type="pct"/>
            <w:vAlign w:val="center"/>
          </w:tcPr>
          <w:p w14:paraId="3B4D25DC">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市生态环境局花都分局、区发展改革局</w:t>
            </w:r>
          </w:p>
        </w:tc>
        <w:tc>
          <w:tcPr>
            <w:tcW w:w="571" w:type="pct"/>
            <w:vAlign w:val="center"/>
          </w:tcPr>
          <w:p w14:paraId="19B24C48">
            <w:pPr>
              <w:jc w:val="center"/>
              <w:rPr>
                <w:rFonts w:hint="eastAsia" w:ascii="宋体" w:hAnsi="宋体" w:eastAsia="宋体" w:cs="Times New Roman"/>
                <w:kern w:val="0"/>
                <w:sz w:val="24"/>
                <w:szCs w:val="24"/>
              </w:rPr>
            </w:pPr>
            <w:r>
              <w:rPr>
                <w:rFonts w:ascii="宋体" w:hAnsi="宋体" w:eastAsia="宋体" w:cs="Times New Roman"/>
                <w:kern w:val="0"/>
                <w:sz w:val="24"/>
                <w:szCs w:val="24"/>
              </w:rPr>
              <w:t>约束性</w:t>
            </w:r>
          </w:p>
        </w:tc>
      </w:tr>
      <w:tr w14:paraId="6B73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425049C1">
            <w:pPr>
              <w:jc w:val="center"/>
              <w:rPr>
                <w:rFonts w:hint="eastAsia" w:ascii="宋体" w:hAnsi="宋体" w:eastAsia="宋体" w:cs="Times New Roman"/>
                <w:kern w:val="0"/>
                <w:sz w:val="24"/>
                <w:szCs w:val="24"/>
              </w:rPr>
            </w:pPr>
          </w:p>
        </w:tc>
        <w:tc>
          <w:tcPr>
            <w:tcW w:w="265" w:type="pct"/>
            <w:vAlign w:val="center"/>
          </w:tcPr>
          <w:p w14:paraId="1D2A566C">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7C422786">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非化石能源占能源消费总量的比重</w:t>
            </w:r>
          </w:p>
        </w:tc>
        <w:tc>
          <w:tcPr>
            <w:tcW w:w="409" w:type="pct"/>
            <w:vAlign w:val="center"/>
          </w:tcPr>
          <w:p w14:paraId="10F34C06">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904" w:type="pct"/>
            <w:vAlign w:val="center"/>
          </w:tcPr>
          <w:p w14:paraId="60B83DE5">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15.88</w:t>
            </w:r>
          </w:p>
        </w:tc>
        <w:tc>
          <w:tcPr>
            <w:tcW w:w="738" w:type="pct"/>
            <w:vAlign w:val="center"/>
          </w:tcPr>
          <w:p w14:paraId="172B717B">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完成市下达目标</w:t>
            </w:r>
          </w:p>
        </w:tc>
        <w:tc>
          <w:tcPr>
            <w:tcW w:w="821" w:type="pct"/>
            <w:vAlign w:val="center"/>
          </w:tcPr>
          <w:p w14:paraId="78AD35C0">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区发展改革局</w:t>
            </w:r>
          </w:p>
        </w:tc>
        <w:tc>
          <w:tcPr>
            <w:tcW w:w="571" w:type="pct"/>
            <w:vAlign w:val="center"/>
          </w:tcPr>
          <w:p w14:paraId="27F3FE30">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约束性</w:t>
            </w:r>
          </w:p>
        </w:tc>
      </w:tr>
      <w:tr w14:paraId="28C0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17CE0766">
            <w:pPr>
              <w:jc w:val="center"/>
              <w:rPr>
                <w:rFonts w:hint="eastAsia" w:ascii="宋体" w:hAnsi="宋体" w:eastAsia="宋体" w:cs="Times New Roman"/>
                <w:kern w:val="0"/>
                <w:sz w:val="24"/>
                <w:szCs w:val="24"/>
              </w:rPr>
            </w:pPr>
          </w:p>
        </w:tc>
        <w:tc>
          <w:tcPr>
            <w:tcW w:w="265" w:type="pct"/>
            <w:vAlign w:val="center"/>
          </w:tcPr>
          <w:p w14:paraId="55FE90D2">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2206AE0B">
            <w:pPr>
              <w:jc w:val="center"/>
              <w:rPr>
                <w:rFonts w:hint="eastAsia" w:ascii="宋体" w:hAnsi="宋体" w:eastAsia="宋体" w:cs="Times New Roman"/>
                <w:kern w:val="0"/>
                <w:sz w:val="24"/>
                <w:szCs w:val="24"/>
              </w:rPr>
            </w:pPr>
            <w:r>
              <w:rPr>
                <w:rFonts w:ascii="宋体" w:hAnsi="宋体" w:eastAsia="宋体" w:cs="Times New Roman"/>
                <w:kern w:val="0"/>
                <w:sz w:val="24"/>
                <w:szCs w:val="24"/>
              </w:rPr>
              <w:t>生活垃圾资源化利用率</w:t>
            </w:r>
          </w:p>
        </w:tc>
        <w:tc>
          <w:tcPr>
            <w:tcW w:w="409" w:type="pct"/>
            <w:vAlign w:val="center"/>
          </w:tcPr>
          <w:p w14:paraId="754FA918">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0C16FA67">
            <w:pPr>
              <w:jc w:val="center"/>
              <w:rPr>
                <w:rFonts w:hint="eastAsia" w:ascii="宋体" w:hAnsi="宋体" w:eastAsia="宋体" w:cs="Times New Roman"/>
                <w:kern w:val="0"/>
                <w:sz w:val="24"/>
                <w:szCs w:val="24"/>
              </w:rPr>
            </w:pPr>
            <w:r>
              <w:rPr>
                <w:rFonts w:ascii="宋体" w:hAnsi="宋体" w:eastAsia="宋体" w:cs="Times New Roman"/>
                <w:kern w:val="0"/>
                <w:sz w:val="24"/>
                <w:szCs w:val="24"/>
              </w:rPr>
              <w:t>86.36</w:t>
            </w:r>
          </w:p>
        </w:tc>
        <w:tc>
          <w:tcPr>
            <w:tcW w:w="738" w:type="pct"/>
            <w:vAlign w:val="center"/>
          </w:tcPr>
          <w:p w14:paraId="6890FE7B">
            <w:pPr>
              <w:jc w:val="center"/>
              <w:rPr>
                <w:rFonts w:hint="eastAsia" w:ascii="宋体" w:hAnsi="宋体" w:eastAsia="宋体" w:cs="Times New Roman"/>
                <w:kern w:val="0"/>
                <w:sz w:val="24"/>
                <w:szCs w:val="24"/>
              </w:rPr>
            </w:pPr>
            <w:r>
              <w:rPr>
                <w:rFonts w:ascii="宋体" w:hAnsi="宋体" w:eastAsia="宋体" w:cs="Times New Roman"/>
                <w:kern w:val="0"/>
                <w:sz w:val="24"/>
                <w:szCs w:val="24"/>
              </w:rPr>
              <w:t>85%以上</w:t>
            </w:r>
          </w:p>
        </w:tc>
        <w:tc>
          <w:tcPr>
            <w:tcW w:w="821" w:type="pct"/>
            <w:vAlign w:val="center"/>
          </w:tcPr>
          <w:p w14:paraId="1D7FB650">
            <w:pPr>
              <w:jc w:val="center"/>
              <w:rPr>
                <w:rFonts w:hint="eastAsia" w:ascii="宋体" w:hAnsi="宋体" w:eastAsia="宋体" w:cs="Times New Roman"/>
                <w:kern w:val="0"/>
                <w:sz w:val="24"/>
                <w:szCs w:val="24"/>
              </w:rPr>
            </w:pPr>
            <w:r>
              <w:rPr>
                <w:rFonts w:ascii="宋体" w:hAnsi="宋体" w:eastAsia="宋体" w:cs="Times New Roman"/>
                <w:kern w:val="0"/>
                <w:sz w:val="24"/>
                <w:szCs w:val="24"/>
              </w:rPr>
              <w:t>区城管局</w:t>
            </w:r>
          </w:p>
        </w:tc>
        <w:tc>
          <w:tcPr>
            <w:tcW w:w="571" w:type="pct"/>
            <w:vAlign w:val="center"/>
          </w:tcPr>
          <w:p w14:paraId="4781D7AE">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300D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266" w:type="pct"/>
            <w:vMerge w:val="continue"/>
            <w:vAlign w:val="center"/>
          </w:tcPr>
          <w:p w14:paraId="6B2E4D08">
            <w:pPr>
              <w:jc w:val="center"/>
              <w:rPr>
                <w:rFonts w:hint="eastAsia" w:ascii="宋体" w:hAnsi="宋体" w:eastAsia="宋体" w:cs="Times New Roman"/>
                <w:kern w:val="0"/>
                <w:sz w:val="24"/>
                <w:szCs w:val="24"/>
              </w:rPr>
            </w:pPr>
          </w:p>
        </w:tc>
        <w:tc>
          <w:tcPr>
            <w:tcW w:w="265" w:type="pct"/>
            <w:vMerge w:val="restart"/>
            <w:vAlign w:val="center"/>
          </w:tcPr>
          <w:p w14:paraId="6A4E1661">
            <w:pPr>
              <w:numPr>
                <w:ilvl w:val="0"/>
                <w:numId w:val="1"/>
              </w:numPr>
              <w:contextualSpacing/>
              <w:jc w:val="center"/>
              <w:rPr>
                <w:rFonts w:hint="eastAsia" w:ascii="宋体" w:hAnsi="宋体" w:eastAsia="宋体" w:cs="Times New Roman"/>
                <w:kern w:val="0"/>
                <w:sz w:val="24"/>
                <w:szCs w:val="24"/>
              </w:rPr>
            </w:pPr>
          </w:p>
        </w:tc>
        <w:tc>
          <w:tcPr>
            <w:tcW w:w="264" w:type="pct"/>
            <w:vMerge w:val="restart"/>
            <w:vAlign w:val="center"/>
          </w:tcPr>
          <w:p w14:paraId="50BD656C">
            <w:pPr>
              <w:jc w:val="center"/>
              <w:rPr>
                <w:rFonts w:hint="eastAsia" w:ascii="宋体" w:hAnsi="宋体" w:eastAsia="宋体" w:cs="Times New Roman"/>
                <w:kern w:val="0"/>
                <w:sz w:val="24"/>
                <w:szCs w:val="24"/>
              </w:rPr>
            </w:pPr>
            <w:r>
              <w:rPr>
                <w:rFonts w:ascii="宋体" w:hAnsi="宋体" w:eastAsia="宋体" w:cs="Times New Roman"/>
                <w:kern w:val="0"/>
                <w:sz w:val="24"/>
                <w:szCs w:val="24"/>
              </w:rPr>
              <w:t>主要污染物排放总量下降</w:t>
            </w:r>
          </w:p>
        </w:tc>
        <w:tc>
          <w:tcPr>
            <w:tcW w:w="762" w:type="pct"/>
            <w:vAlign w:val="center"/>
          </w:tcPr>
          <w:p w14:paraId="0CE8C671">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氮氧化物、挥发性有机物</w:t>
            </w:r>
            <w:r>
              <w:rPr>
                <w:rFonts w:ascii="宋体" w:hAnsi="宋体" w:eastAsia="宋体" w:cs="Times New Roman"/>
                <w:kern w:val="0"/>
                <w:sz w:val="24"/>
                <w:szCs w:val="24"/>
              </w:rPr>
              <w:t>(VOCs)</w:t>
            </w:r>
            <w:r>
              <w:rPr>
                <w:rFonts w:hint="eastAsia" w:ascii="宋体" w:hAnsi="宋体" w:eastAsia="宋体" w:cs="Times New Roman"/>
                <w:kern w:val="0"/>
                <w:sz w:val="24"/>
                <w:szCs w:val="24"/>
              </w:rPr>
              <w:t>排放总量累计减少</w:t>
            </w:r>
          </w:p>
        </w:tc>
        <w:tc>
          <w:tcPr>
            <w:tcW w:w="409" w:type="pct"/>
            <w:vAlign w:val="center"/>
          </w:tcPr>
          <w:p w14:paraId="5911873C">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吨</w:t>
            </w:r>
          </w:p>
        </w:tc>
        <w:tc>
          <w:tcPr>
            <w:tcW w:w="904" w:type="pct"/>
            <w:vAlign w:val="center"/>
          </w:tcPr>
          <w:p w14:paraId="107DECC1">
            <w:pPr>
              <w:jc w:val="center"/>
              <w:rPr>
                <w:rFonts w:hint="eastAsia" w:ascii="宋体" w:hAnsi="宋体" w:eastAsia="宋体" w:cs="Times New Roman"/>
                <w:kern w:val="0"/>
                <w:sz w:val="24"/>
                <w:szCs w:val="24"/>
              </w:rPr>
            </w:pPr>
            <w:r>
              <w:rPr>
                <w:rFonts w:hint="eastAsia" w:ascii="宋体" w:hAnsi="宋体" w:eastAsia="宋体" w:cs="宋体"/>
                <w:kern w:val="0"/>
                <w:szCs w:val="21"/>
              </w:rPr>
              <w:t>氮氧化物累计减少324.42吨，挥发性有机物累计减少346.49吨</w:t>
            </w:r>
          </w:p>
        </w:tc>
        <w:tc>
          <w:tcPr>
            <w:tcW w:w="738" w:type="pct"/>
            <w:vAlign w:val="center"/>
          </w:tcPr>
          <w:p w14:paraId="49F0676D">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26BCAD18">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2F494C29">
            <w:pPr>
              <w:jc w:val="center"/>
              <w:rPr>
                <w:rFonts w:hint="eastAsia" w:ascii="宋体" w:hAnsi="宋体" w:eastAsia="宋体" w:cs="Times New Roman"/>
                <w:kern w:val="0"/>
                <w:sz w:val="24"/>
                <w:szCs w:val="24"/>
              </w:rPr>
            </w:pPr>
            <w:r>
              <w:rPr>
                <w:rFonts w:ascii="宋体" w:hAnsi="宋体" w:eastAsia="宋体" w:cs="Times New Roman"/>
                <w:kern w:val="0"/>
                <w:sz w:val="24"/>
                <w:szCs w:val="24"/>
              </w:rPr>
              <w:t>约束性</w:t>
            </w:r>
          </w:p>
        </w:tc>
      </w:tr>
      <w:tr w14:paraId="0EE8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1AE2EF05">
            <w:pPr>
              <w:jc w:val="center"/>
              <w:rPr>
                <w:rFonts w:hint="eastAsia" w:ascii="宋体" w:hAnsi="宋体" w:eastAsia="宋体" w:cs="Times New Roman"/>
                <w:kern w:val="0"/>
                <w:sz w:val="24"/>
                <w:szCs w:val="24"/>
              </w:rPr>
            </w:pPr>
          </w:p>
        </w:tc>
        <w:tc>
          <w:tcPr>
            <w:tcW w:w="265" w:type="pct"/>
            <w:vMerge w:val="continue"/>
            <w:vAlign w:val="center"/>
          </w:tcPr>
          <w:p w14:paraId="0EF84266">
            <w:pPr>
              <w:numPr>
                <w:ilvl w:val="0"/>
                <w:numId w:val="1"/>
              </w:numPr>
              <w:contextualSpacing/>
              <w:jc w:val="center"/>
              <w:rPr>
                <w:rFonts w:hint="eastAsia" w:ascii="宋体" w:hAnsi="宋体" w:eastAsia="宋体" w:cs="Times New Roman"/>
                <w:kern w:val="0"/>
                <w:sz w:val="24"/>
                <w:szCs w:val="24"/>
              </w:rPr>
            </w:pPr>
          </w:p>
        </w:tc>
        <w:tc>
          <w:tcPr>
            <w:tcW w:w="264" w:type="pct"/>
            <w:vMerge w:val="continue"/>
            <w:vAlign w:val="center"/>
          </w:tcPr>
          <w:p w14:paraId="651803A4">
            <w:pPr>
              <w:jc w:val="center"/>
              <w:rPr>
                <w:rFonts w:hint="eastAsia" w:ascii="宋体" w:hAnsi="宋体" w:eastAsia="宋体" w:cs="Times New Roman"/>
                <w:kern w:val="0"/>
                <w:sz w:val="24"/>
                <w:szCs w:val="24"/>
              </w:rPr>
            </w:pPr>
          </w:p>
        </w:tc>
        <w:tc>
          <w:tcPr>
            <w:tcW w:w="762" w:type="pct"/>
            <w:vAlign w:val="center"/>
          </w:tcPr>
          <w:p w14:paraId="65509A72">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化学需氧量、总磷排放总量累计减少</w:t>
            </w:r>
          </w:p>
        </w:tc>
        <w:tc>
          <w:tcPr>
            <w:tcW w:w="409" w:type="pct"/>
            <w:vAlign w:val="center"/>
          </w:tcPr>
          <w:p w14:paraId="6041E885">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吨</w:t>
            </w:r>
          </w:p>
        </w:tc>
        <w:tc>
          <w:tcPr>
            <w:tcW w:w="904" w:type="pct"/>
            <w:vAlign w:val="center"/>
          </w:tcPr>
          <w:p w14:paraId="5B821FBD">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化学需氧量</w:t>
            </w:r>
            <w:r>
              <w:rPr>
                <w:rFonts w:ascii="宋体" w:hAnsi="宋体" w:eastAsia="宋体" w:cs="Times New Roman"/>
                <w:kern w:val="0"/>
                <w:sz w:val="24"/>
                <w:szCs w:val="24"/>
              </w:rPr>
              <w:t>累计</w:t>
            </w:r>
            <w:r>
              <w:rPr>
                <w:rFonts w:hint="eastAsia" w:ascii="宋体" w:hAnsi="宋体" w:eastAsia="宋体" w:cs="Times New Roman"/>
                <w:kern w:val="0"/>
                <w:sz w:val="24"/>
                <w:szCs w:val="24"/>
              </w:rPr>
              <w:t>减少</w:t>
            </w:r>
            <w:r>
              <w:rPr>
                <w:rFonts w:ascii="宋体" w:hAnsi="宋体" w:eastAsia="宋体" w:cs="Times New Roman"/>
                <w:kern w:val="0"/>
                <w:sz w:val="24"/>
                <w:szCs w:val="24"/>
              </w:rPr>
              <w:t>2903吨</w:t>
            </w:r>
            <w:r>
              <w:rPr>
                <w:rFonts w:hint="eastAsia" w:ascii="宋体" w:hAnsi="宋体" w:eastAsia="宋体" w:cs="Times New Roman"/>
                <w:kern w:val="0"/>
                <w:sz w:val="24"/>
                <w:szCs w:val="24"/>
              </w:rPr>
              <w:t>，总磷“十四五”期间未开展减排统计</w:t>
            </w:r>
          </w:p>
        </w:tc>
        <w:tc>
          <w:tcPr>
            <w:tcW w:w="738" w:type="pct"/>
            <w:vAlign w:val="center"/>
          </w:tcPr>
          <w:p w14:paraId="2A08854E">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23EECD8A">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1B4FF68F">
            <w:pPr>
              <w:jc w:val="center"/>
              <w:rPr>
                <w:rFonts w:hint="eastAsia" w:ascii="宋体" w:hAnsi="宋体" w:eastAsia="宋体" w:cs="Times New Roman"/>
                <w:kern w:val="0"/>
                <w:sz w:val="24"/>
                <w:szCs w:val="24"/>
              </w:rPr>
            </w:pPr>
            <w:r>
              <w:rPr>
                <w:rFonts w:ascii="宋体" w:hAnsi="宋体" w:eastAsia="宋体" w:cs="Times New Roman"/>
                <w:kern w:val="0"/>
                <w:sz w:val="24"/>
                <w:szCs w:val="24"/>
              </w:rPr>
              <w:t>约束性</w:t>
            </w:r>
          </w:p>
        </w:tc>
      </w:tr>
      <w:tr w14:paraId="3A8C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restart"/>
            <w:vAlign w:val="center"/>
          </w:tcPr>
          <w:p w14:paraId="0E4B3C48">
            <w:pPr>
              <w:jc w:val="center"/>
              <w:rPr>
                <w:rFonts w:hint="eastAsia" w:ascii="宋体" w:hAnsi="宋体" w:eastAsia="宋体" w:cs="Times New Roman"/>
                <w:kern w:val="0"/>
                <w:sz w:val="24"/>
                <w:szCs w:val="24"/>
              </w:rPr>
            </w:pPr>
            <w:r>
              <w:rPr>
                <w:rFonts w:ascii="宋体" w:hAnsi="宋体" w:eastAsia="宋体" w:cs="Times New Roman"/>
                <w:kern w:val="0"/>
                <w:sz w:val="24"/>
                <w:szCs w:val="24"/>
              </w:rPr>
              <w:t>环境质量改善</w:t>
            </w:r>
          </w:p>
        </w:tc>
        <w:tc>
          <w:tcPr>
            <w:tcW w:w="265" w:type="pct"/>
            <w:vAlign w:val="center"/>
          </w:tcPr>
          <w:p w14:paraId="775458B1">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79DB6387">
            <w:pPr>
              <w:jc w:val="center"/>
              <w:rPr>
                <w:rFonts w:hint="eastAsia" w:ascii="宋体" w:hAnsi="宋体" w:eastAsia="宋体" w:cs="Times New Roman"/>
                <w:kern w:val="0"/>
                <w:sz w:val="24"/>
                <w:szCs w:val="24"/>
              </w:rPr>
            </w:pPr>
            <w:r>
              <w:rPr>
                <w:rFonts w:ascii="宋体" w:hAnsi="宋体" w:eastAsia="宋体" w:cs="Times New Roman"/>
                <w:kern w:val="0"/>
                <w:sz w:val="24"/>
                <w:szCs w:val="24"/>
              </w:rPr>
              <w:t>细颗粒物（</w:t>
            </w:r>
            <w:r>
              <w:rPr>
                <w:rFonts w:ascii="Times New Roman" w:hAnsi="Times New Roman" w:eastAsia="宋体" w:cs="Times New Roman"/>
                <w:kern w:val="0"/>
                <w:sz w:val="24"/>
                <w:szCs w:val="24"/>
              </w:rPr>
              <w:t>PM</w:t>
            </w:r>
            <w:r>
              <w:rPr>
                <w:rFonts w:ascii="Times New Roman" w:hAnsi="Times New Roman" w:eastAsia="宋体" w:cs="Times New Roman"/>
                <w:kern w:val="0"/>
                <w:sz w:val="24"/>
                <w:szCs w:val="24"/>
                <w:vertAlign w:val="subscript"/>
              </w:rPr>
              <w:t>2.5</w:t>
            </w:r>
            <w:r>
              <w:rPr>
                <w:rFonts w:ascii="宋体" w:hAnsi="宋体" w:eastAsia="宋体" w:cs="Times New Roman"/>
                <w:kern w:val="0"/>
                <w:sz w:val="24"/>
                <w:szCs w:val="24"/>
              </w:rPr>
              <w:t>）年均浓度</w:t>
            </w:r>
          </w:p>
        </w:tc>
        <w:tc>
          <w:tcPr>
            <w:tcW w:w="409" w:type="pct"/>
            <w:vAlign w:val="center"/>
          </w:tcPr>
          <w:p w14:paraId="70861B2A">
            <w:pPr>
              <w:jc w:val="center"/>
              <w:rPr>
                <w:rFonts w:hint="eastAsia" w:ascii="宋体" w:hAnsi="宋体" w:eastAsia="宋体" w:cs="Times New Roman"/>
                <w:kern w:val="0"/>
                <w:sz w:val="24"/>
                <w:szCs w:val="24"/>
              </w:rPr>
            </w:pPr>
            <w:r>
              <w:rPr>
                <w:rFonts w:ascii="Times New Roman" w:hAnsi="Times New Roman" w:eastAsia="宋体" w:cs="Times New Roman"/>
                <w:kern w:val="0"/>
                <w:sz w:val="24"/>
                <w:szCs w:val="24"/>
              </w:rPr>
              <w:t>微克/立方米</w:t>
            </w:r>
          </w:p>
        </w:tc>
        <w:tc>
          <w:tcPr>
            <w:tcW w:w="904" w:type="pct"/>
            <w:vAlign w:val="center"/>
          </w:tcPr>
          <w:p w14:paraId="63CD1477">
            <w:pPr>
              <w:jc w:val="center"/>
              <w:rPr>
                <w:rFonts w:hint="eastAsia" w:ascii="宋体" w:hAnsi="宋体" w:eastAsia="宋体" w:cs="Times New Roman"/>
                <w:kern w:val="0"/>
                <w:sz w:val="24"/>
                <w:szCs w:val="24"/>
              </w:rPr>
            </w:pPr>
            <w:r>
              <w:rPr>
                <w:rFonts w:ascii="宋体" w:hAnsi="宋体" w:eastAsia="宋体" w:cs="Times New Roman"/>
                <w:kern w:val="0"/>
                <w:sz w:val="24"/>
                <w:szCs w:val="24"/>
              </w:rPr>
              <w:t>22.3</w:t>
            </w:r>
          </w:p>
        </w:tc>
        <w:tc>
          <w:tcPr>
            <w:tcW w:w="738" w:type="pct"/>
            <w:vAlign w:val="center"/>
          </w:tcPr>
          <w:p w14:paraId="4D96FCF6">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34733A24">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438A4993">
            <w:pPr>
              <w:jc w:val="center"/>
              <w:rPr>
                <w:rFonts w:hint="eastAsia" w:ascii="宋体" w:hAnsi="宋体" w:eastAsia="宋体" w:cs="Times New Roman"/>
                <w:kern w:val="0"/>
                <w:sz w:val="24"/>
                <w:szCs w:val="24"/>
              </w:rPr>
            </w:pPr>
            <w:r>
              <w:rPr>
                <w:rFonts w:ascii="宋体" w:hAnsi="宋体" w:eastAsia="宋体" w:cs="Times New Roman"/>
                <w:kern w:val="0"/>
                <w:sz w:val="24"/>
                <w:szCs w:val="24"/>
              </w:rPr>
              <w:t>约束性</w:t>
            </w:r>
          </w:p>
        </w:tc>
      </w:tr>
      <w:tr w14:paraId="6E76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2992B452">
            <w:pPr>
              <w:jc w:val="center"/>
              <w:rPr>
                <w:rFonts w:hint="eastAsia" w:ascii="宋体" w:hAnsi="宋体" w:eastAsia="宋体" w:cs="Times New Roman"/>
                <w:kern w:val="0"/>
                <w:sz w:val="24"/>
                <w:szCs w:val="24"/>
              </w:rPr>
            </w:pPr>
          </w:p>
        </w:tc>
        <w:tc>
          <w:tcPr>
            <w:tcW w:w="265" w:type="pct"/>
            <w:vAlign w:val="center"/>
          </w:tcPr>
          <w:p w14:paraId="7C1C7963">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6B69D5BB">
            <w:pPr>
              <w:jc w:val="center"/>
              <w:rPr>
                <w:rFonts w:hint="eastAsia" w:ascii="宋体" w:hAnsi="宋体" w:eastAsia="宋体" w:cs="Times New Roman"/>
                <w:kern w:val="0"/>
                <w:sz w:val="24"/>
                <w:szCs w:val="24"/>
              </w:rPr>
            </w:pPr>
            <w:r>
              <w:rPr>
                <w:rFonts w:ascii="宋体" w:hAnsi="宋体" w:eastAsia="宋体" w:cs="Times New Roman"/>
                <w:kern w:val="0"/>
                <w:sz w:val="24"/>
                <w:szCs w:val="24"/>
              </w:rPr>
              <w:t>空气质量优良天数比率</w:t>
            </w:r>
          </w:p>
        </w:tc>
        <w:tc>
          <w:tcPr>
            <w:tcW w:w="409" w:type="pct"/>
            <w:vAlign w:val="center"/>
          </w:tcPr>
          <w:p w14:paraId="5639500F">
            <w:pPr>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w:t>
            </w:r>
          </w:p>
        </w:tc>
        <w:tc>
          <w:tcPr>
            <w:tcW w:w="904" w:type="pct"/>
            <w:vAlign w:val="center"/>
          </w:tcPr>
          <w:p w14:paraId="6FC1234B">
            <w:pPr>
              <w:jc w:val="center"/>
              <w:rPr>
                <w:rFonts w:hint="eastAsia" w:ascii="宋体" w:hAnsi="宋体" w:eastAsia="宋体" w:cs="Times New Roman"/>
                <w:kern w:val="0"/>
                <w:sz w:val="24"/>
                <w:szCs w:val="24"/>
              </w:rPr>
            </w:pPr>
            <w:r>
              <w:rPr>
                <w:rFonts w:ascii="宋体" w:hAnsi="宋体" w:eastAsia="宋体" w:cs="Times New Roman"/>
                <w:kern w:val="0"/>
                <w:sz w:val="24"/>
                <w:szCs w:val="24"/>
              </w:rPr>
              <w:t>91.8</w:t>
            </w:r>
          </w:p>
        </w:tc>
        <w:tc>
          <w:tcPr>
            <w:tcW w:w="738" w:type="pct"/>
            <w:vAlign w:val="center"/>
          </w:tcPr>
          <w:p w14:paraId="5F73D7E6">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7A2E82DE">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655F8990">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255E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6600A6A2">
            <w:pPr>
              <w:jc w:val="center"/>
              <w:rPr>
                <w:rFonts w:hint="eastAsia" w:ascii="宋体" w:hAnsi="宋体" w:eastAsia="宋体" w:cs="Times New Roman"/>
                <w:kern w:val="0"/>
                <w:sz w:val="24"/>
                <w:szCs w:val="24"/>
              </w:rPr>
            </w:pPr>
          </w:p>
        </w:tc>
        <w:tc>
          <w:tcPr>
            <w:tcW w:w="265" w:type="pct"/>
            <w:vAlign w:val="center"/>
          </w:tcPr>
          <w:p w14:paraId="420582EC">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687C6B0D">
            <w:pPr>
              <w:jc w:val="center"/>
              <w:rPr>
                <w:rFonts w:hint="eastAsia" w:ascii="宋体" w:hAnsi="宋体" w:eastAsia="宋体" w:cs="Times New Roman"/>
                <w:kern w:val="0"/>
                <w:sz w:val="24"/>
                <w:szCs w:val="24"/>
              </w:rPr>
            </w:pPr>
            <w:r>
              <w:rPr>
                <w:rFonts w:ascii="宋体" w:hAnsi="宋体" w:eastAsia="宋体" w:cs="Times New Roman"/>
                <w:kern w:val="0"/>
                <w:sz w:val="24"/>
                <w:szCs w:val="24"/>
              </w:rPr>
              <w:t>优良水体比例</w:t>
            </w:r>
          </w:p>
        </w:tc>
        <w:tc>
          <w:tcPr>
            <w:tcW w:w="409" w:type="pct"/>
            <w:vAlign w:val="center"/>
          </w:tcPr>
          <w:p w14:paraId="0823D154">
            <w:pPr>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w:t>
            </w:r>
          </w:p>
        </w:tc>
        <w:tc>
          <w:tcPr>
            <w:tcW w:w="904" w:type="pct"/>
            <w:vAlign w:val="center"/>
          </w:tcPr>
          <w:p w14:paraId="612243CD">
            <w:pPr>
              <w:jc w:val="center"/>
              <w:rPr>
                <w:rFonts w:hint="eastAsia" w:ascii="宋体" w:hAnsi="宋体" w:eastAsia="宋体" w:cs="Times New Roman"/>
                <w:kern w:val="0"/>
                <w:sz w:val="24"/>
                <w:szCs w:val="24"/>
              </w:rPr>
            </w:pPr>
            <w:r>
              <w:rPr>
                <w:rFonts w:ascii="宋体" w:hAnsi="宋体" w:eastAsia="宋体" w:cs="Times New Roman"/>
                <w:kern w:val="0"/>
                <w:sz w:val="24"/>
                <w:szCs w:val="24"/>
              </w:rPr>
              <w:t>100</w:t>
            </w:r>
          </w:p>
        </w:tc>
        <w:tc>
          <w:tcPr>
            <w:tcW w:w="738" w:type="pct"/>
            <w:vAlign w:val="center"/>
          </w:tcPr>
          <w:p w14:paraId="7A9009D4">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02D5FB9C">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6622513B">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322F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0E5665BA">
            <w:pPr>
              <w:jc w:val="center"/>
              <w:rPr>
                <w:rFonts w:hint="eastAsia" w:ascii="宋体" w:hAnsi="宋体" w:eastAsia="宋体" w:cs="Times New Roman"/>
                <w:kern w:val="0"/>
                <w:sz w:val="24"/>
                <w:szCs w:val="24"/>
              </w:rPr>
            </w:pPr>
          </w:p>
        </w:tc>
        <w:tc>
          <w:tcPr>
            <w:tcW w:w="265" w:type="pct"/>
            <w:vAlign w:val="center"/>
          </w:tcPr>
          <w:p w14:paraId="23893643">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61F369D3">
            <w:pPr>
              <w:jc w:val="center"/>
              <w:rPr>
                <w:rFonts w:hint="eastAsia" w:ascii="宋体" w:hAnsi="宋体" w:eastAsia="宋体" w:cs="Times New Roman"/>
                <w:kern w:val="0"/>
                <w:sz w:val="24"/>
                <w:szCs w:val="24"/>
              </w:rPr>
            </w:pPr>
            <w:r>
              <w:rPr>
                <w:rFonts w:ascii="宋体" w:hAnsi="宋体" w:eastAsia="宋体" w:cs="Times New Roman"/>
                <w:kern w:val="0"/>
                <w:sz w:val="24"/>
                <w:szCs w:val="24"/>
              </w:rPr>
              <w:t>地下水</w:t>
            </w:r>
            <w:r>
              <w:rPr>
                <w:rFonts w:hint="eastAsia" w:ascii="宋体" w:hAnsi="宋体" w:eastAsia="宋体" w:cs="Times New Roman"/>
                <w:kern w:val="0"/>
                <w:sz w:val="24"/>
                <w:szCs w:val="24"/>
              </w:rPr>
              <w:t>达标</w:t>
            </w:r>
            <w:r>
              <w:rPr>
                <w:rFonts w:ascii="宋体" w:hAnsi="宋体" w:eastAsia="宋体" w:cs="Times New Roman"/>
                <w:kern w:val="0"/>
                <w:sz w:val="24"/>
                <w:szCs w:val="24"/>
              </w:rPr>
              <w:t>水质比例</w:t>
            </w:r>
          </w:p>
        </w:tc>
        <w:tc>
          <w:tcPr>
            <w:tcW w:w="409" w:type="pct"/>
            <w:vAlign w:val="center"/>
          </w:tcPr>
          <w:p w14:paraId="522FBA6A">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0C0F4A87">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738" w:type="pct"/>
            <w:vAlign w:val="center"/>
          </w:tcPr>
          <w:p w14:paraId="41AAE49A">
            <w:pPr>
              <w:jc w:val="center"/>
              <w:rPr>
                <w:rFonts w:hint="eastAsia" w:ascii="宋体" w:hAnsi="宋体" w:eastAsia="宋体" w:cs="Times New Roman"/>
                <w:kern w:val="0"/>
                <w:sz w:val="24"/>
                <w:szCs w:val="24"/>
              </w:rPr>
            </w:pPr>
            <w:r>
              <w:rPr>
                <w:rFonts w:ascii="宋体" w:hAnsi="宋体" w:eastAsia="宋体" w:cs="Times New Roman"/>
                <w:kern w:val="0"/>
                <w:sz w:val="24"/>
                <w:szCs w:val="24"/>
              </w:rPr>
              <w:t>完成上级下达目标</w:t>
            </w:r>
          </w:p>
        </w:tc>
        <w:tc>
          <w:tcPr>
            <w:tcW w:w="821" w:type="pct"/>
            <w:vAlign w:val="center"/>
          </w:tcPr>
          <w:p w14:paraId="5410AD54">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1ED65100">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67B5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6414B70F">
            <w:pPr>
              <w:jc w:val="center"/>
              <w:rPr>
                <w:rFonts w:hint="eastAsia" w:ascii="宋体" w:hAnsi="宋体" w:eastAsia="宋体" w:cs="Times New Roman"/>
                <w:kern w:val="0"/>
                <w:sz w:val="24"/>
                <w:szCs w:val="24"/>
              </w:rPr>
            </w:pPr>
          </w:p>
        </w:tc>
        <w:tc>
          <w:tcPr>
            <w:tcW w:w="265" w:type="pct"/>
            <w:vAlign w:val="center"/>
          </w:tcPr>
          <w:p w14:paraId="09BF9EA2">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17355AB6">
            <w:pPr>
              <w:jc w:val="center"/>
              <w:rPr>
                <w:rFonts w:hint="eastAsia" w:ascii="宋体" w:hAnsi="宋体" w:eastAsia="宋体" w:cs="Times New Roman"/>
                <w:kern w:val="0"/>
                <w:sz w:val="24"/>
                <w:szCs w:val="24"/>
              </w:rPr>
            </w:pPr>
            <w:r>
              <w:rPr>
                <w:rFonts w:ascii="宋体" w:hAnsi="宋体" w:eastAsia="宋体" w:cs="Times New Roman"/>
                <w:kern w:val="0"/>
                <w:sz w:val="24"/>
                <w:szCs w:val="24"/>
              </w:rPr>
              <w:t>城市声环境功能区夜间监测总点次达标率</w:t>
            </w:r>
          </w:p>
        </w:tc>
        <w:tc>
          <w:tcPr>
            <w:tcW w:w="409" w:type="pct"/>
            <w:vAlign w:val="center"/>
          </w:tcPr>
          <w:p w14:paraId="74E5B1E2">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2AE62D07">
            <w:pPr>
              <w:jc w:val="center"/>
              <w:rPr>
                <w:rFonts w:hint="eastAsia" w:ascii="宋体" w:hAnsi="宋体" w:eastAsia="宋体" w:cs="Times New Roman"/>
                <w:kern w:val="0"/>
                <w:sz w:val="24"/>
                <w:szCs w:val="24"/>
              </w:rPr>
            </w:pPr>
            <w:r>
              <w:rPr>
                <w:rFonts w:ascii="宋体" w:hAnsi="宋体" w:eastAsia="宋体" w:cs="Times New Roman"/>
                <w:kern w:val="0"/>
                <w:sz w:val="24"/>
                <w:szCs w:val="24"/>
              </w:rPr>
              <w:t>84</w:t>
            </w:r>
          </w:p>
        </w:tc>
        <w:tc>
          <w:tcPr>
            <w:tcW w:w="738" w:type="pct"/>
            <w:vAlign w:val="center"/>
          </w:tcPr>
          <w:p w14:paraId="5B5A3E2F">
            <w:pPr>
              <w:jc w:val="center"/>
              <w:rPr>
                <w:rFonts w:hint="eastAsia" w:ascii="宋体" w:hAnsi="宋体" w:eastAsia="宋体" w:cs="Times New Roman"/>
                <w:kern w:val="0"/>
                <w:sz w:val="24"/>
                <w:szCs w:val="24"/>
              </w:rPr>
            </w:pPr>
            <w:r>
              <w:rPr>
                <w:rFonts w:ascii="宋体" w:hAnsi="宋体" w:eastAsia="宋体" w:cs="Times New Roman"/>
                <w:kern w:val="0"/>
                <w:sz w:val="24"/>
                <w:szCs w:val="24"/>
              </w:rPr>
              <w:t>保持稳定或持续提高</w:t>
            </w:r>
          </w:p>
        </w:tc>
        <w:tc>
          <w:tcPr>
            <w:tcW w:w="821" w:type="pct"/>
            <w:vAlign w:val="center"/>
          </w:tcPr>
          <w:p w14:paraId="30106658">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00330C93">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0BB7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restart"/>
            <w:vAlign w:val="center"/>
          </w:tcPr>
          <w:p w14:paraId="26AC7A9E">
            <w:pPr>
              <w:jc w:val="center"/>
              <w:rPr>
                <w:rFonts w:hint="eastAsia" w:ascii="宋体" w:hAnsi="宋体" w:eastAsia="宋体" w:cs="Times New Roman"/>
                <w:kern w:val="0"/>
                <w:sz w:val="24"/>
                <w:szCs w:val="24"/>
              </w:rPr>
            </w:pPr>
            <w:r>
              <w:rPr>
                <w:rFonts w:ascii="宋体" w:hAnsi="宋体" w:eastAsia="宋体" w:cs="Times New Roman"/>
                <w:kern w:val="0"/>
                <w:sz w:val="24"/>
                <w:szCs w:val="24"/>
              </w:rPr>
              <w:t>生态系统保护</w:t>
            </w:r>
          </w:p>
        </w:tc>
        <w:tc>
          <w:tcPr>
            <w:tcW w:w="265" w:type="pct"/>
            <w:vAlign w:val="center"/>
          </w:tcPr>
          <w:p w14:paraId="41E8BD84">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18BB3AAF">
            <w:pPr>
              <w:jc w:val="center"/>
              <w:rPr>
                <w:rFonts w:hint="eastAsia" w:ascii="宋体" w:hAnsi="宋体" w:eastAsia="宋体" w:cs="Times New Roman"/>
                <w:kern w:val="0"/>
                <w:sz w:val="24"/>
                <w:szCs w:val="24"/>
              </w:rPr>
            </w:pPr>
            <w:r>
              <w:rPr>
                <w:rFonts w:ascii="宋体" w:hAnsi="宋体" w:eastAsia="宋体" w:cs="Times New Roman"/>
                <w:kern w:val="0"/>
                <w:sz w:val="24"/>
                <w:szCs w:val="24"/>
              </w:rPr>
              <w:t>森林覆盖率</w:t>
            </w:r>
          </w:p>
        </w:tc>
        <w:tc>
          <w:tcPr>
            <w:tcW w:w="409" w:type="pct"/>
            <w:vAlign w:val="center"/>
          </w:tcPr>
          <w:p w14:paraId="61C71B39">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2E6C36C5">
            <w:pPr>
              <w:jc w:val="center"/>
              <w:rPr>
                <w:rFonts w:hint="eastAsia" w:ascii="宋体" w:hAnsi="宋体" w:eastAsia="宋体" w:cs="Times New Roman"/>
                <w:kern w:val="0"/>
                <w:sz w:val="24"/>
                <w:szCs w:val="24"/>
              </w:rPr>
            </w:pPr>
            <w:r>
              <w:rPr>
                <w:rFonts w:ascii="宋体" w:hAnsi="宋体" w:eastAsia="宋体" w:cs="Times New Roman"/>
                <w:kern w:val="0"/>
                <w:sz w:val="24"/>
                <w:szCs w:val="24"/>
              </w:rPr>
              <w:t>37</w:t>
            </w:r>
          </w:p>
        </w:tc>
        <w:tc>
          <w:tcPr>
            <w:tcW w:w="738" w:type="pct"/>
            <w:vAlign w:val="center"/>
          </w:tcPr>
          <w:p w14:paraId="087DEDF9">
            <w:pPr>
              <w:jc w:val="center"/>
              <w:rPr>
                <w:rFonts w:hint="eastAsia" w:ascii="宋体" w:hAnsi="宋体" w:eastAsia="宋体" w:cs="Times New Roman"/>
                <w:kern w:val="0"/>
                <w:sz w:val="24"/>
                <w:szCs w:val="24"/>
              </w:rPr>
            </w:pPr>
            <w:r>
              <w:rPr>
                <w:rFonts w:ascii="宋体" w:hAnsi="宋体" w:eastAsia="宋体" w:cs="Times New Roman"/>
                <w:kern w:val="0"/>
                <w:sz w:val="24"/>
                <w:szCs w:val="24"/>
              </w:rPr>
              <w:t>稳中有升</w:t>
            </w:r>
          </w:p>
        </w:tc>
        <w:tc>
          <w:tcPr>
            <w:tcW w:w="821" w:type="pct"/>
            <w:vAlign w:val="center"/>
          </w:tcPr>
          <w:p w14:paraId="621F2B18">
            <w:pPr>
              <w:jc w:val="center"/>
              <w:rPr>
                <w:rFonts w:hint="eastAsia" w:ascii="宋体" w:hAnsi="宋体" w:eastAsia="宋体" w:cs="Times New Roman"/>
                <w:kern w:val="0"/>
                <w:sz w:val="24"/>
                <w:szCs w:val="24"/>
              </w:rPr>
            </w:pPr>
            <w:r>
              <w:rPr>
                <w:rFonts w:ascii="宋体" w:hAnsi="宋体" w:eastAsia="宋体" w:cs="Times New Roman"/>
                <w:kern w:val="0"/>
                <w:sz w:val="24"/>
                <w:szCs w:val="24"/>
              </w:rPr>
              <w:t>市规划和自然资源局花都区分局</w:t>
            </w:r>
          </w:p>
        </w:tc>
        <w:tc>
          <w:tcPr>
            <w:tcW w:w="571" w:type="pct"/>
            <w:vAlign w:val="center"/>
          </w:tcPr>
          <w:p w14:paraId="60C5160D">
            <w:pPr>
              <w:jc w:val="center"/>
              <w:rPr>
                <w:rFonts w:hint="eastAsia" w:ascii="宋体" w:hAnsi="宋体" w:eastAsia="宋体" w:cs="Times New Roman"/>
                <w:kern w:val="0"/>
                <w:sz w:val="24"/>
                <w:szCs w:val="24"/>
              </w:rPr>
            </w:pPr>
            <w:r>
              <w:rPr>
                <w:rFonts w:ascii="宋体" w:hAnsi="宋体" w:eastAsia="宋体" w:cs="Times New Roman"/>
                <w:kern w:val="0"/>
                <w:sz w:val="24"/>
                <w:szCs w:val="24"/>
              </w:rPr>
              <w:t>约束性</w:t>
            </w:r>
          </w:p>
        </w:tc>
      </w:tr>
      <w:tr w14:paraId="2428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227E1790">
            <w:pPr>
              <w:jc w:val="center"/>
              <w:rPr>
                <w:rFonts w:hint="eastAsia" w:ascii="宋体" w:hAnsi="宋体" w:eastAsia="宋体" w:cs="Times New Roman"/>
                <w:kern w:val="0"/>
                <w:sz w:val="24"/>
                <w:szCs w:val="24"/>
              </w:rPr>
            </w:pPr>
          </w:p>
        </w:tc>
        <w:tc>
          <w:tcPr>
            <w:tcW w:w="265" w:type="pct"/>
            <w:vAlign w:val="center"/>
          </w:tcPr>
          <w:p w14:paraId="5A5AA795">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62DBE8C7">
            <w:pPr>
              <w:jc w:val="center"/>
              <w:rPr>
                <w:rFonts w:hint="eastAsia" w:ascii="宋体" w:hAnsi="宋体" w:eastAsia="宋体" w:cs="Times New Roman"/>
                <w:kern w:val="0"/>
                <w:sz w:val="24"/>
                <w:szCs w:val="24"/>
              </w:rPr>
            </w:pPr>
            <w:r>
              <w:rPr>
                <w:rFonts w:ascii="宋体" w:hAnsi="宋体" w:eastAsia="宋体" w:cs="Times New Roman"/>
                <w:kern w:val="0"/>
                <w:sz w:val="24"/>
                <w:szCs w:val="24"/>
              </w:rPr>
              <w:t>生态质量指数</w:t>
            </w:r>
          </w:p>
        </w:tc>
        <w:tc>
          <w:tcPr>
            <w:tcW w:w="409" w:type="pct"/>
            <w:vAlign w:val="center"/>
          </w:tcPr>
          <w:p w14:paraId="297DF87B">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60B24685">
            <w:pPr>
              <w:jc w:val="center"/>
              <w:rPr>
                <w:rFonts w:hint="eastAsia" w:ascii="宋体" w:hAnsi="宋体" w:eastAsia="宋体" w:cs="Times New Roman"/>
                <w:kern w:val="0"/>
                <w:sz w:val="24"/>
                <w:szCs w:val="24"/>
              </w:rPr>
            </w:pPr>
            <w:r>
              <w:rPr>
                <w:rFonts w:ascii="宋体" w:hAnsi="宋体" w:eastAsia="宋体" w:cs="Times New Roman"/>
                <w:kern w:val="0"/>
                <w:sz w:val="24"/>
                <w:szCs w:val="24"/>
              </w:rPr>
              <w:t>51.98</w:t>
            </w:r>
          </w:p>
          <w:p w14:paraId="3248533B">
            <w:pPr>
              <w:jc w:val="center"/>
              <w:rPr>
                <w:rFonts w:hint="eastAsia" w:ascii="宋体" w:hAnsi="宋体" w:eastAsia="宋体" w:cs="Times New Roman"/>
                <w:kern w:val="0"/>
                <w:sz w:val="24"/>
                <w:szCs w:val="24"/>
              </w:rPr>
            </w:pPr>
            <w:r>
              <w:rPr>
                <w:rFonts w:ascii="宋体" w:hAnsi="宋体" w:eastAsia="宋体" w:cs="Times New Roman"/>
                <w:kern w:val="0"/>
                <w:sz w:val="24"/>
                <w:szCs w:val="24"/>
              </w:rPr>
              <w:t>（2024年）</w:t>
            </w:r>
          </w:p>
        </w:tc>
        <w:tc>
          <w:tcPr>
            <w:tcW w:w="738" w:type="pct"/>
            <w:vAlign w:val="center"/>
          </w:tcPr>
          <w:p w14:paraId="1BADBC07">
            <w:pPr>
              <w:jc w:val="center"/>
              <w:rPr>
                <w:rFonts w:hint="eastAsia" w:ascii="宋体" w:hAnsi="宋体" w:eastAsia="宋体" w:cs="Times New Roman"/>
                <w:kern w:val="0"/>
                <w:sz w:val="24"/>
                <w:szCs w:val="24"/>
              </w:rPr>
            </w:pPr>
            <w:r>
              <w:rPr>
                <w:rFonts w:ascii="宋体" w:hAnsi="宋体" w:eastAsia="宋体" w:cs="宋体"/>
                <w:kern w:val="0"/>
                <w:sz w:val="24"/>
                <w:szCs w:val="24"/>
              </w:rPr>
              <w:t>保持基本稳定</w:t>
            </w:r>
          </w:p>
        </w:tc>
        <w:tc>
          <w:tcPr>
            <w:tcW w:w="821" w:type="pct"/>
            <w:vAlign w:val="center"/>
          </w:tcPr>
          <w:p w14:paraId="731317DB">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3E87190E">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6BD6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4F1C0E15">
            <w:pPr>
              <w:jc w:val="center"/>
              <w:rPr>
                <w:rFonts w:hint="eastAsia" w:ascii="宋体" w:hAnsi="宋体" w:eastAsia="宋体" w:cs="Times New Roman"/>
                <w:kern w:val="0"/>
                <w:sz w:val="24"/>
                <w:szCs w:val="24"/>
              </w:rPr>
            </w:pPr>
          </w:p>
        </w:tc>
        <w:tc>
          <w:tcPr>
            <w:tcW w:w="265" w:type="pct"/>
            <w:vAlign w:val="center"/>
          </w:tcPr>
          <w:p w14:paraId="02550CDB">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13DADD24">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国家重点保护野生动/</w:t>
            </w:r>
            <w:r>
              <w:rPr>
                <w:rFonts w:ascii="宋体" w:hAnsi="宋体" w:eastAsia="宋体" w:cs="Times New Roman"/>
                <w:kern w:val="0"/>
                <w:sz w:val="24"/>
                <w:szCs w:val="24"/>
              </w:rPr>
              <w:t>植物物种保护率</w:t>
            </w:r>
          </w:p>
        </w:tc>
        <w:tc>
          <w:tcPr>
            <w:tcW w:w="409" w:type="pct"/>
            <w:vAlign w:val="center"/>
          </w:tcPr>
          <w:p w14:paraId="4E626EAB">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313C76A1">
            <w:pPr>
              <w:jc w:val="center"/>
              <w:rPr>
                <w:rFonts w:hint="eastAsia" w:ascii="宋体" w:hAnsi="宋体" w:eastAsia="宋体" w:cs="Times New Roman"/>
                <w:kern w:val="0"/>
                <w:sz w:val="24"/>
                <w:szCs w:val="24"/>
              </w:rPr>
            </w:pPr>
            <w:r>
              <w:rPr>
                <w:rFonts w:ascii="宋体" w:hAnsi="宋体" w:eastAsia="宋体" w:cs="Times New Roman"/>
                <w:kern w:val="0"/>
                <w:sz w:val="24"/>
                <w:szCs w:val="24"/>
              </w:rPr>
              <w:t>95/80</w:t>
            </w:r>
          </w:p>
        </w:tc>
        <w:tc>
          <w:tcPr>
            <w:tcW w:w="738" w:type="pct"/>
            <w:vAlign w:val="center"/>
          </w:tcPr>
          <w:p w14:paraId="779FD687">
            <w:pPr>
              <w:jc w:val="center"/>
              <w:rPr>
                <w:rFonts w:hint="eastAsia" w:ascii="宋体" w:hAnsi="宋体" w:eastAsia="宋体" w:cs="宋体"/>
                <w:kern w:val="0"/>
                <w:sz w:val="24"/>
                <w:szCs w:val="24"/>
              </w:rPr>
            </w:pPr>
            <w:r>
              <w:rPr>
                <w:rFonts w:ascii="宋体" w:hAnsi="宋体" w:eastAsia="宋体" w:cs="Times New Roman"/>
                <w:kern w:val="0"/>
                <w:sz w:val="24"/>
                <w:szCs w:val="24"/>
              </w:rPr>
              <w:t>96/93</w:t>
            </w:r>
          </w:p>
        </w:tc>
        <w:tc>
          <w:tcPr>
            <w:tcW w:w="821" w:type="pct"/>
            <w:vAlign w:val="center"/>
          </w:tcPr>
          <w:p w14:paraId="49F5E34B">
            <w:pPr>
              <w:jc w:val="center"/>
              <w:rPr>
                <w:rFonts w:hint="eastAsia" w:ascii="宋体" w:hAnsi="宋体" w:eastAsia="宋体" w:cs="Times New Roman"/>
                <w:kern w:val="0"/>
                <w:sz w:val="24"/>
                <w:szCs w:val="24"/>
              </w:rPr>
            </w:pPr>
            <w:r>
              <w:rPr>
                <w:rFonts w:ascii="宋体" w:hAnsi="宋体" w:eastAsia="宋体" w:cs="Times New Roman"/>
                <w:kern w:val="0"/>
                <w:sz w:val="24"/>
                <w:szCs w:val="24"/>
              </w:rPr>
              <w:t>市规划和自然资源局花都区分局</w:t>
            </w:r>
          </w:p>
        </w:tc>
        <w:tc>
          <w:tcPr>
            <w:tcW w:w="571" w:type="pct"/>
            <w:vAlign w:val="center"/>
          </w:tcPr>
          <w:p w14:paraId="791D7D99">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3419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restart"/>
            <w:vAlign w:val="center"/>
          </w:tcPr>
          <w:p w14:paraId="1955053D">
            <w:pPr>
              <w:jc w:val="center"/>
              <w:rPr>
                <w:rFonts w:hint="eastAsia" w:ascii="宋体" w:hAnsi="宋体" w:eastAsia="宋体" w:cs="Times New Roman"/>
                <w:kern w:val="0"/>
                <w:sz w:val="24"/>
                <w:szCs w:val="24"/>
              </w:rPr>
            </w:pPr>
            <w:r>
              <w:rPr>
                <w:rFonts w:ascii="宋体" w:hAnsi="宋体" w:eastAsia="宋体" w:cs="Times New Roman"/>
                <w:kern w:val="0"/>
                <w:sz w:val="24"/>
                <w:szCs w:val="24"/>
              </w:rPr>
              <w:t>环境风险防控</w:t>
            </w:r>
          </w:p>
        </w:tc>
        <w:tc>
          <w:tcPr>
            <w:tcW w:w="265" w:type="pct"/>
            <w:vAlign w:val="center"/>
          </w:tcPr>
          <w:p w14:paraId="6DB6C734">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18051220">
            <w:pPr>
              <w:jc w:val="center"/>
              <w:rPr>
                <w:rFonts w:hint="eastAsia" w:ascii="宋体" w:hAnsi="宋体" w:eastAsia="宋体" w:cs="Times New Roman"/>
                <w:kern w:val="0"/>
                <w:sz w:val="24"/>
                <w:szCs w:val="24"/>
              </w:rPr>
            </w:pPr>
            <w:r>
              <w:rPr>
                <w:rFonts w:ascii="宋体" w:hAnsi="宋体" w:eastAsia="宋体" w:cs="Times New Roman"/>
                <w:kern w:val="0"/>
                <w:sz w:val="24"/>
                <w:szCs w:val="24"/>
              </w:rPr>
              <w:t>受污染耕地安全利用率</w:t>
            </w:r>
          </w:p>
        </w:tc>
        <w:tc>
          <w:tcPr>
            <w:tcW w:w="409" w:type="pct"/>
            <w:vAlign w:val="center"/>
          </w:tcPr>
          <w:p w14:paraId="15950F66">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127C7142">
            <w:pPr>
              <w:jc w:val="center"/>
              <w:rPr>
                <w:rFonts w:hint="eastAsia" w:ascii="宋体" w:hAnsi="宋体" w:eastAsia="宋体" w:cs="Times New Roman"/>
                <w:kern w:val="0"/>
                <w:sz w:val="24"/>
                <w:szCs w:val="24"/>
              </w:rPr>
            </w:pPr>
            <w:r>
              <w:rPr>
                <w:rFonts w:ascii="宋体" w:hAnsi="宋体" w:eastAsia="宋体" w:cs="Times New Roman"/>
                <w:kern w:val="0"/>
                <w:sz w:val="24"/>
                <w:szCs w:val="24"/>
              </w:rPr>
              <w:t>100</w:t>
            </w:r>
          </w:p>
        </w:tc>
        <w:tc>
          <w:tcPr>
            <w:tcW w:w="738" w:type="pct"/>
            <w:vAlign w:val="center"/>
          </w:tcPr>
          <w:p w14:paraId="4B11A31A">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93.5</w:t>
            </w:r>
          </w:p>
        </w:tc>
        <w:tc>
          <w:tcPr>
            <w:tcW w:w="821" w:type="pct"/>
            <w:vAlign w:val="center"/>
          </w:tcPr>
          <w:p w14:paraId="7EAB0A23">
            <w:pPr>
              <w:jc w:val="center"/>
              <w:rPr>
                <w:rFonts w:hint="eastAsia" w:ascii="宋体" w:hAnsi="宋体" w:eastAsia="宋体" w:cs="Times New Roman"/>
                <w:kern w:val="0"/>
                <w:sz w:val="24"/>
                <w:szCs w:val="24"/>
              </w:rPr>
            </w:pPr>
            <w:r>
              <w:rPr>
                <w:rFonts w:ascii="宋体" w:hAnsi="宋体" w:eastAsia="宋体" w:cs="Times New Roman"/>
                <w:kern w:val="0"/>
                <w:sz w:val="24"/>
                <w:szCs w:val="24"/>
              </w:rPr>
              <w:t>区农业农村局</w:t>
            </w:r>
          </w:p>
        </w:tc>
        <w:tc>
          <w:tcPr>
            <w:tcW w:w="571" w:type="pct"/>
            <w:vAlign w:val="center"/>
          </w:tcPr>
          <w:p w14:paraId="02B0DDED">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2AEF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636430F9">
            <w:pPr>
              <w:jc w:val="center"/>
              <w:rPr>
                <w:rFonts w:hint="eastAsia" w:ascii="宋体" w:hAnsi="宋体" w:eastAsia="宋体" w:cs="Times New Roman"/>
                <w:kern w:val="0"/>
                <w:sz w:val="24"/>
                <w:szCs w:val="24"/>
              </w:rPr>
            </w:pPr>
          </w:p>
        </w:tc>
        <w:tc>
          <w:tcPr>
            <w:tcW w:w="265" w:type="pct"/>
            <w:vAlign w:val="center"/>
          </w:tcPr>
          <w:p w14:paraId="15B79D4C">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401A221C">
            <w:pPr>
              <w:jc w:val="center"/>
              <w:rPr>
                <w:rFonts w:hint="eastAsia" w:ascii="宋体" w:hAnsi="宋体" w:eastAsia="宋体" w:cs="Times New Roman"/>
                <w:kern w:val="0"/>
                <w:sz w:val="24"/>
                <w:szCs w:val="24"/>
              </w:rPr>
            </w:pPr>
            <w:r>
              <w:rPr>
                <w:rFonts w:ascii="宋体" w:hAnsi="宋体" w:eastAsia="宋体" w:cs="Times New Roman"/>
                <w:kern w:val="0"/>
                <w:sz w:val="24"/>
                <w:szCs w:val="24"/>
              </w:rPr>
              <w:t>建设用地安全利用</w:t>
            </w:r>
          </w:p>
        </w:tc>
        <w:tc>
          <w:tcPr>
            <w:tcW w:w="409" w:type="pct"/>
            <w:vAlign w:val="center"/>
          </w:tcPr>
          <w:p w14:paraId="459B5A2C">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73DF2731">
            <w:pPr>
              <w:jc w:val="center"/>
              <w:rPr>
                <w:rFonts w:hint="eastAsia" w:ascii="宋体" w:hAnsi="宋体" w:eastAsia="宋体" w:cs="Times New Roman"/>
                <w:kern w:val="0"/>
                <w:sz w:val="24"/>
                <w:szCs w:val="24"/>
              </w:rPr>
            </w:pPr>
            <w:r>
              <w:rPr>
                <w:rFonts w:ascii="宋体" w:hAnsi="宋体" w:eastAsia="宋体" w:cs="Times New Roman"/>
                <w:kern w:val="0"/>
                <w:sz w:val="24"/>
                <w:szCs w:val="24"/>
              </w:rPr>
              <w:t>有效保障</w:t>
            </w:r>
          </w:p>
        </w:tc>
        <w:tc>
          <w:tcPr>
            <w:tcW w:w="738" w:type="pct"/>
            <w:vAlign w:val="center"/>
          </w:tcPr>
          <w:p w14:paraId="52EF8181">
            <w:pPr>
              <w:jc w:val="center"/>
              <w:rPr>
                <w:rFonts w:hint="eastAsia" w:ascii="宋体" w:hAnsi="宋体" w:eastAsia="宋体" w:cs="Times New Roman"/>
                <w:kern w:val="0"/>
                <w:sz w:val="24"/>
                <w:szCs w:val="24"/>
              </w:rPr>
            </w:pPr>
            <w:r>
              <w:rPr>
                <w:rFonts w:ascii="宋体" w:hAnsi="宋体" w:eastAsia="宋体" w:cs="Times New Roman"/>
                <w:kern w:val="0"/>
                <w:sz w:val="24"/>
                <w:szCs w:val="24"/>
              </w:rPr>
              <w:t>有效保障</w:t>
            </w:r>
          </w:p>
        </w:tc>
        <w:tc>
          <w:tcPr>
            <w:tcW w:w="821" w:type="pct"/>
            <w:vAlign w:val="center"/>
          </w:tcPr>
          <w:p w14:paraId="494811B2">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6CDBBFB7">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5E0C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33A1760B">
            <w:pPr>
              <w:jc w:val="center"/>
              <w:rPr>
                <w:rFonts w:hint="eastAsia" w:ascii="宋体" w:hAnsi="宋体" w:eastAsia="宋体" w:cs="Times New Roman"/>
                <w:kern w:val="0"/>
                <w:sz w:val="24"/>
                <w:szCs w:val="24"/>
              </w:rPr>
            </w:pPr>
          </w:p>
        </w:tc>
        <w:tc>
          <w:tcPr>
            <w:tcW w:w="265" w:type="pct"/>
            <w:vAlign w:val="center"/>
          </w:tcPr>
          <w:p w14:paraId="543A4D0D">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5BAAC962">
            <w:pPr>
              <w:jc w:val="center"/>
              <w:rPr>
                <w:rFonts w:hint="eastAsia" w:ascii="宋体" w:hAnsi="宋体" w:eastAsia="宋体" w:cs="Times New Roman"/>
                <w:kern w:val="0"/>
                <w:sz w:val="24"/>
                <w:szCs w:val="24"/>
              </w:rPr>
            </w:pPr>
            <w:r>
              <w:rPr>
                <w:rFonts w:ascii="宋体" w:hAnsi="宋体" w:eastAsia="宋体" w:cs="Times New Roman"/>
                <w:kern w:val="0"/>
                <w:sz w:val="24"/>
                <w:szCs w:val="24"/>
              </w:rPr>
              <w:t>危险废物填埋处置量占比</w:t>
            </w:r>
          </w:p>
        </w:tc>
        <w:tc>
          <w:tcPr>
            <w:tcW w:w="409" w:type="pct"/>
            <w:vAlign w:val="center"/>
          </w:tcPr>
          <w:p w14:paraId="41FC9064">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113C135D">
            <w:pPr>
              <w:jc w:val="center"/>
              <w:rPr>
                <w:rFonts w:hint="eastAsia" w:ascii="宋体" w:hAnsi="宋体" w:eastAsia="宋体" w:cs="Times New Roman"/>
                <w:kern w:val="0"/>
                <w:sz w:val="24"/>
                <w:szCs w:val="24"/>
              </w:rPr>
            </w:pPr>
            <w:r>
              <w:rPr>
                <w:rFonts w:ascii="宋体" w:hAnsi="宋体" w:eastAsia="宋体" w:cs="Times New Roman"/>
                <w:kern w:val="0"/>
                <w:sz w:val="24"/>
                <w:szCs w:val="24"/>
              </w:rPr>
              <w:t>30.43</w:t>
            </w:r>
          </w:p>
        </w:tc>
        <w:tc>
          <w:tcPr>
            <w:tcW w:w="738" w:type="pct"/>
            <w:vAlign w:val="center"/>
          </w:tcPr>
          <w:p w14:paraId="48BF91C1">
            <w:pPr>
              <w:jc w:val="center"/>
              <w:rPr>
                <w:rFonts w:hint="eastAsia" w:ascii="宋体" w:hAnsi="宋体" w:eastAsia="宋体" w:cs="Times New Roman"/>
                <w:kern w:val="0"/>
                <w:sz w:val="24"/>
                <w:szCs w:val="24"/>
              </w:rPr>
            </w:pPr>
            <w:r>
              <w:rPr>
                <w:rFonts w:ascii="宋体" w:hAnsi="宋体" w:eastAsia="宋体" w:cs="Times New Roman"/>
                <w:kern w:val="0"/>
                <w:sz w:val="24"/>
                <w:szCs w:val="24"/>
              </w:rPr>
              <w:t>≤10或不上升</w:t>
            </w:r>
          </w:p>
        </w:tc>
        <w:tc>
          <w:tcPr>
            <w:tcW w:w="821" w:type="pct"/>
            <w:vAlign w:val="center"/>
          </w:tcPr>
          <w:p w14:paraId="78477113">
            <w:pPr>
              <w:jc w:val="center"/>
              <w:rPr>
                <w:rFonts w:hint="eastAsia" w:ascii="宋体" w:hAnsi="宋体" w:eastAsia="宋体" w:cs="Times New Roman"/>
                <w:kern w:val="0"/>
                <w:sz w:val="24"/>
                <w:szCs w:val="24"/>
              </w:rPr>
            </w:pPr>
            <w:r>
              <w:rPr>
                <w:rFonts w:ascii="宋体" w:hAnsi="宋体" w:eastAsia="宋体" w:cs="Times New Roman"/>
                <w:kern w:val="0"/>
                <w:sz w:val="24"/>
                <w:szCs w:val="24"/>
              </w:rPr>
              <w:t>市生态环境局花都分局</w:t>
            </w:r>
          </w:p>
        </w:tc>
        <w:tc>
          <w:tcPr>
            <w:tcW w:w="571" w:type="pct"/>
            <w:vAlign w:val="center"/>
          </w:tcPr>
          <w:p w14:paraId="67C9EF8B">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2DA5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12FAB592">
            <w:pPr>
              <w:jc w:val="center"/>
              <w:rPr>
                <w:rFonts w:hint="eastAsia" w:ascii="宋体" w:hAnsi="宋体" w:eastAsia="宋体" w:cs="Times New Roman"/>
                <w:kern w:val="0"/>
                <w:sz w:val="24"/>
                <w:szCs w:val="24"/>
              </w:rPr>
            </w:pPr>
          </w:p>
        </w:tc>
        <w:tc>
          <w:tcPr>
            <w:tcW w:w="265" w:type="pct"/>
            <w:vAlign w:val="center"/>
          </w:tcPr>
          <w:p w14:paraId="37145870">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22919595">
            <w:pPr>
              <w:jc w:val="center"/>
              <w:rPr>
                <w:rFonts w:hint="eastAsia" w:ascii="宋体" w:hAnsi="宋体" w:eastAsia="宋体" w:cs="Times New Roman"/>
                <w:kern w:val="0"/>
                <w:sz w:val="24"/>
                <w:szCs w:val="24"/>
              </w:rPr>
            </w:pPr>
            <w:r>
              <w:rPr>
                <w:rFonts w:ascii="宋体" w:hAnsi="宋体" w:eastAsia="宋体" w:cs="Times New Roman"/>
                <w:kern w:val="0"/>
                <w:sz w:val="24"/>
                <w:szCs w:val="24"/>
              </w:rPr>
              <w:t>城市生活污水集中收集率</w:t>
            </w:r>
          </w:p>
        </w:tc>
        <w:tc>
          <w:tcPr>
            <w:tcW w:w="409" w:type="pct"/>
            <w:vAlign w:val="center"/>
          </w:tcPr>
          <w:p w14:paraId="46244740">
            <w:pPr>
              <w:jc w:val="center"/>
              <w:rPr>
                <w:rFonts w:hint="eastAsia" w:ascii="宋体" w:hAnsi="宋体" w:eastAsia="宋体" w:cs="Times New Roman"/>
                <w:kern w:val="0"/>
                <w:sz w:val="24"/>
                <w:szCs w:val="24"/>
              </w:rPr>
            </w:pPr>
            <w:r>
              <w:rPr>
                <w:rFonts w:ascii="宋体" w:hAnsi="宋体" w:eastAsia="宋体" w:cs="Times New Roman"/>
                <w:kern w:val="0"/>
                <w:sz w:val="24"/>
                <w:szCs w:val="24"/>
              </w:rPr>
              <w:t>%</w:t>
            </w:r>
          </w:p>
        </w:tc>
        <w:tc>
          <w:tcPr>
            <w:tcW w:w="904" w:type="pct"/>
            <w:vAlign w:val="center"/>
          </w:tcPr>
          <w:p w14:paraId="78CE3F15">
            <w:pPr>
              <w:jc w:val="center"/>
              <w:rPr>
                <w:rFonts w:hint="eastAsia" w:ascii="宋体" w:hAnsi="宋体" w:eastAsia="宋体" w:cs="Times New Roman"/>
                <w:kern w:val="0"/>
                <w:sz w:val="24"/>
                <w:szCs w:val="24"/>
              </w:rPr>
            </w:pPr>
            <w:r>
              <w:rPr>
                <w:rFonts w:ascii="宋体" w:hAnsi="宋体" w:eastAsia="宋体" w:cs="Times New Roman"/>
                <w:kern w:val="0"/>
                <w:sz w:val="24"/>
                <w:szCs w:val="24"/>
              </w:rPr>
              <w:t>96.19</w:t>
            </w:r>
          </w:p>
        </w:tc>
        <w:tc>
          <w:tcPr>
            <w:tcW w:w="738" w:type="pct"/>
            <w:vAlign w:val="center"/>
          </w:tcPr>
          <w:p w14:paraId="1B570ADB">
            <w:pPr>
              <w:jc w:val="center"/>
              <w:rPr>
                <w:rFonts w:hint="eastAsia" w:ascii="宋体" w:hAnsi="宋体" w:eastAsia="宋体" w:cs="Times New Roman"/>
                <w:kern w:val="0"/>
                <w:sz w:val="24"/>
                <w:szCs w:val="24"/>
              </w:rPr>
            </w:pPr>
            <w:r>
              <w:rPr>
                <w:rFonts w:ascii="等线" w:hAnsi="等线" w:eastAsia="等线" w:cs="宋体"/>
                <w:kern w:val="0"/>
                <w:sz w:val="24"/>
                <w:szCs w:val="24"/>
              </w:rPr>
              <w:t>≥</w:t>
            </w:r>
            <w:r>
              <w:rPr>
                <w:rFonts w:ascii="宋体" w:hAnsi="宋体" w:eastAsia="宋体" w:cs="Times New Roman"/>
                <w:kern w:val="0"/>
                <w:sz w:val="24"/>
                <w:szCs w:val="24"/>
              </w:rPr>
              <w:t>89</w:t>
            </w:r>
          </w:p>
        </w:tc>
        <w:tc>
          <w:tcPr>
            <w:tcW w:w="821" w:type="pct"/>
            <w:vAlign w:val="center"/>
          </w:tcPr>
          <w:p w14:paraId="754841B5">
            <w:pPr>
              <w:jc w:val="center"/>
              <w:rPr>
                <w:rFonts w:hint="eastAsia" w:ascii="宋体" w:hAnsi="宋体" w:eastAsia="宋体" w:cs="Times New Roman"/>
                <w:kern w:val="0"/>
                <w:sz w:val="24"/>
                <w:szCs w:val="24"/>
              </w:rPr>
            </w:pPr>
            <w:r>
              <w:rPr>
                <w:rFonts w:ascii="宋体" w:hAnsi="宋体" w:eastAsia="宋体" w:cs="Times New Roman"/>
                <w:kern w:val="0"/>
                <w:sz w:val="24"/>
                <w:szCs w:val="24"/>
              </w:rPr>
              <w:t>区水务局</w:t>
            </w:r>
          </w:p>
        </w:tc>
        <w:tc>
          <w:tcPr>
            <w:tcW w:w="571" w:type="pct"/>
            <w:vAlign w:val="center"/>
          </w:tcPr>
          <w:p w14:paraId="700DA7E6">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5528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39CBFF10">
            <w:pPr>
              <w:jc w:val="center"/>
              <w:rPr>
                <w:rFonts w:hint="eastAsia" w:ascii="宋体" w:hAnsi="宋体" w:eastAsia="宋体" w:cs="Times New Roman"/>
                <w:kern w:val="0"/>
                <w:sz w:val="24"/>
                <w:szCs w:val="24"/>
              </w:rPr>
            </w:pPr>
          </w:p>
        </w:tc>
        <w:tc>
          <w:tcPr>
            <w:tcW w:w="265" w:type="pct"/>
            <w:vAlign w:val="center"/>
          </w:tcPr>
          <w:p w14:paraId="6204C953">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6CAC5E0D">
            <w:pPr>
              <w:jc w:val="center"/>
              <w:rPr>
                <w:rFonts w:hint="eastAsia" w:ascii="宋体" w:hAnsi="宋体" w:eastAsia="宋体" w:cs="Times New Roman"/>
                <w:kern w:val="0"/>
                <w:sz w:val="24"/>
                <w:szCs w:val="24"/>
              </w:rPr>
            </w:pPr>
            <w:r>
              <w:rPr>
                <w:rFonts w:ascii="宋体" w:hAnsi="宋体" w:eastAsia="宋体" w:cs="Times New Roman"/>
                <w:kern w:val="0"/>
                <w:sz w:val="24"/>
                <w:szCs w:val="24"/>
              </w:rPr>
              <w:t>农村生活污水治理率</w:t>
            </w:r>
          </w:p>
        </w:tc>
        <w:tc>
          <w:tcPr>
            <w:tcW w:w="409" w:type="pct"/>
            <w:vAlign w:val="center"/>
          </w:tcPr>
          <w:p w14:paraId="2BA0FDF4">
            <w:pPr>
              <w:jc w:val="center"/>
              <w:rPr>
                <w:rFonts w:hint="eastAsia" w:ascii="宋体" w:hAnsi="宋体" w:eastAsia="宋体" w:cs="Times New Roman"/>
                <w:kern w:val="0"/>
                <w:sz w:val="24"/>
                <w:szCs w:val="24"/>
              </w:rPr>
            </w:pPr>
            <w:r>
              <w:rPr>
                <w:rFonts w:ascii="Times New Roman" w:hAnsi="Times New Roman" w:eastAsia="宋体" w:cs="Times New Roman"/>
                <w:kern w:val="0"/>
                <w:sz w:val="24"/>
                <w:szCs w:val="24"/>
                <w:lang w:bidi="ar"/>
              </w:rPr>
              <w:t>%</w:t>
            </w:r>
          </w:p>
        </w:tc>
        <w:tc>
          <w:tcPr>
            <w:tcW w:w="904" w:type="pct"/>
            <w:vAlign w:val="center"/>
          </w:tcPr>
          <w:p w14:paraId="5A3B3C67">
            <w:pPr>
              <w:jc w:val="center"/>
              <w:rPr>
                <w:rFonts w:hint="eastAsia" w:ascii="宋体" w:hAnsi="宋体" w:eastAsia="宋体" w:cs="Times New Roman"/>
                <w:kern w:val="0"/>
                <w:sz w:val="24"/>
                <w:szCs w:val="24"/>
              </w:rPr>
            </w:pPr>
            <w:r>
              <w:rPr>
                <w:rFonts w:ascii="Times New Roman" w:hAnsi="Times New Roman" w:eastAsia="宋体" w:cs="Times New Roman"/>
                <w:kern w:val="0"/>
                <w:sz w:val="24"/>
                <w:szCs w:val="24"/>
                <w:lang w:bidi="ar"/>
              </w:rPr>
              <w:t>100</w:t>
            </w:r>
          </w:p>
        </w:tc>
        <w:tc>
          <w:tcPr>
            <w:tcW w:w="738" w:type="pct"/>
            <w:vAlign w:val="center"/>
          </w:tcPr>
          <w:p w14:paraId="2D890F30">
            <w:pPr>
              <w:jc w:val="center"/>
              <w:rPr>
                <w:rFonts w:hint="eastAsia" w:ascii="宋体" w:hAnsi="宋体" w:eastAsia="宋体" w:cs="Times New Roman"/>
                <w:kern w:val="0"/>
                <w:sz w:val="24"/>
                <w:szCs w:val="24"/>
              </w:rPr>
            </w:pPr>
            <w:r>
              <w:rPr>
                <w:rFonts w:ascii="Times New Roman" w:hAnsi="Times New Roman" w:eastAsia="宋体" w:cs="Times New Roman"/>
                <w:kern w:val="0"/>
                <w:sz w:val="24"/>
                <w:szCs w:val="24"/>
                <w:lang w:bidi="ar"/>
              </w:rPr>
              <w:t>100</w:t>
            </w:r>
          </w:p>
        </w:tc>
        <w:tc>
          <w:tcPr>
            <w:tcW w:w="821" w:type="pct"/>
            <w:vAlign w:val="center"/>
          </w:tcPr>
          <w:p w14:paraId="7E18811F">
            <w:pPr>
              <w:jc w:val="center"/>
              <w:rPr>
                <w:rFonts w:hint="eastAsia" w:ascii="宋体" w:hAnsi="宋体" w:eastAsia="宋体" w:cs="Times New Roman"/>
                <w:kern w:val="0"/>
                <w:sz w:val="24"/>
                <w:szCs w:val="24"/>
              </w:rPr>
            </w:pPr>
            <w:r>
              <w:rPr>
                <w:rFonts w:ascii="宋体" w:hAnsi="宋体" w:eastAsia="宋体" w:cs="Times New Roman"/>
                <w:kern w:val="0"/>
                <w:sz w:val="24"/>
                <w:szCs w:val="24"/>
              </w:rPr>
              <w:t>区水务局</w:t>
            </w:r>
          </w:p>
        </w:tc>
        <w:tc>
          <w:tcPr>
            <w:tcW w:w="571" w:type="pct"/>
            <w:vAlign w:val="center"/>
          </w:tcPr>
          <w:p w14:paraId="0D1E768E">
            <w:pPr>
              <w:jc w:val="center"/>
              <w:rPr>
                <w:rFonts w:hint="eastAsia" w:ascii="宋体" w:hAnsi="宋体" w:eastAsia="宋体" w:cs="Times New Roman"/>
                <w:kern w:val="0"/>
                <w:sz w:val="24"/>
                <w:szCs w:val="24"/>
              </w:rPr>
            </w:pPr>
            <w:r>
              <w:rPr>
                <w:rFonts w:ascii="宋体" w:hAnsi="宋体" w:eastAsia="宋体" w:cs="Times New Roman"/>
                <w:kern w:val="0"/>
                <w:sz w:val="24"/>
                <w:szCs w:val="24"/>
              </w:rPr>
              <w:t>预期性</w:t>
            </w:r>
          </w:p>
        </w:tc>
      </w:tr>
      <w:tr w14:paraId="1608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restart"/>
            <w:vAlign w:val="center"/>
          </w:tcPr>
          <w:p w14:paraId="7D61EFAE">
            <w:pPr>
              <w:jc w:val="center"/>
              <w:rPr>
                <w:rFonts w:hint="eastAsia" w:ascii="宋体" w:hAnsi="宋体" w:eastAsia="宋体" w:cs="Times New Roman"/>
                <w:kern w:val="0"/>
                <w:sz w:val="24"/>
                <w:szCs w:val="24"/>
              </w:rPr>
            </w:pPr>
            <w:r>
              <w:rPr>
                <w:rFonts w:ascii="宋体" w:hAnsi="宋体" w:eastAsia="宋体" w:cs="Times New Roman"/>
                <w:kern w:val="0"/>
                <w:sz w:val="24"/>
                <w:szCs w:val="24"/>
              </w:rPr>
              <w:t>美丽系列建设</w:t>
            </w:r>
          </w:p>
        </w:tc>
        <w:tc>
          <w:tcPr>
            <w:tcW w:w="265" w:type="pct"/>
            <w:vAlign w:val="center"/>
          </w:tcPr>
          <w:p w14:paraId="3134EF2E">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56C8930C">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美丽单元建设数量</w:t>
            </w:r>
          </w:p>
        </w:tc>
        <w:tc>
          <w:tcPr>
            <w:tcW w:w="409" w:type="pct"/>
            <w:vAlign w:val="center"/>
          </w:tcPr>
          <w:p w14:paraId="67BE1D4E">
            <w:pPr>
              <w:jc w:val="center"/>
              <w:rPr>
                <w:rFonts w:hint="eastAsia" w:ascii="宋体" w:hAnsi="宋体" w:eastAsia="宋体" w:cs="Times New Roman"/>
                <w:kern w:val="0"/>
                <w:sz w:val="24"/>
                <w:szCs w:val="24"/>
              </w:rPr>
            </w:pPr>
            <w:r>
              <w:rPr>
                <w:rFonts w:ascii="宋体" w:hAnsi="宋体" w:eastAsia="宋体" w:cs="Times New Roman"/>
                <w:kern w:val="0"/>
                <w:sz w:val="24"/>
                <w:szCs w:val="24"/>
              </w:rPr>
              <w:t>个</w:t>
            </w:r>
          </w:p>
        </w:tc>
        <w:tc>
          <w:tcPr>
            <w:tcW w:w="904" w:type="pct"/>
            <w:vAlign w:val="center"/>
          </w:tcPr>
          <w:p w14:paraId="03773366">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w:t>
            </w:r>
          </w:p>
        </w:tc>
        <w:tc>
          <w:tcPr>
            <w:tcW w:w="738" w:type="pct"/>
            <w:vAlign w:val="center"/>
          </w:tcPr>
          <w:p w14:paraId="0EFB7F6A">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4</w:t>
            </w:r>
          </w:p>
        </w:tc>
        <w:tc>
          <w:tcPr>
            <w:tcW w:w="821" w:type="pct"/>
            <w:vAlign w:val="center"/>
          </w:tcPr>
          <w:p w14:paraId="6153B130">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市生态环境局</w:t>
            </w:r>
            <w:r>
              <w:rPr>
                <w:rFonts w:ascii="宋体" w:hAnsi="宋体" w:eastAsia="宋体" w:cs="Times New Roman"/>
                <w:kern w:val="0"/>
                <w:sz w:val="24"/>
                <w:szCs w:val="24"/>
              </w:rPr>
              <w:t>花都</w:t>
            </w:r>
            <w:r>
              <w:rPr>
                <w:rFonts w:hint="eastAsia" w:ascii="宋体" w:hAnsi="宋体" w:eastAsia="宋体" w:cs="Times New Roman"/>
                <w:kern w:val="0"/>
                <w:sz w:val="24"/>
                <w:szCs w:val="24"/>
              </w:rPr>
              <w:t>分局</w:t>
            </w:r>
          </w:p>
        </w:tc>
        <w:tc>
          <w:tcPr>
            <w:tcW w:w="571" w:type="pct"/>
            <w:vAlign w:val="center"/>
          </w:tcPr>
          <w:p w14:paraId="62C17AAB">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预期性</w:t>
            </w:r>
          </w:p>
        </w:tc>
      </w:tr>
      <w:tr w14:paraId="2A17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51443A0E">
            <w:pPr>
              <w:jc w:val="center"/>
              <w:rPr>
                <w:rFonts w:hint="eastAsia" w:ascii="宋体" w:hAnsi="宋体" w:eastAsia="宋体" w:cs="Times New Roman"/>
                <w:kern w:val="0"/>
                <w:sz w:val="24"/>
                <w:szCs w:val="24"/>
              </w:rPr>
            </w:pPr>
          </w:p>
        </w:tc>
        <w:tc>
          <w:tcPr>
            <w:tcW w:w="265" w:type="pct"/>
            <w:vAlign w:val="center"/>
          </w:tcPr>
          <w:p w14:paraId="41741808">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1DCAC8CB">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美丽乡村整县建成数量</w:t>
            </w:r>
          </w:p>
        </w:tc>
        <w:tc>
          <w:tcPr>
            <w:tcW w:w="409" w:type="pct"/>
            <w:vAlign w:val="center"/>
          </w:tcPr>
          <w:p w14:paraId="0785DE14">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个</w:t>
            </w:r>
          </w:p>
        </w:tc>
        <w:tc>
          <w:tcPr>
            <w:tcW w:w="904" w:type="pct"/>
            <w:vAlign w:val="center"/>
          </w:tcPr>
          <w:p w14:paraId="35A55FEF">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w:t>
            </w:r>
          </w:p>
        </w:tc>
        <w:tc>
          <w:tcPr>
            <w:tcW w:w="738" w:type="pct"/>
            <w:vAlign w:val="center"/>
          </w:tcPr>
          <w:p w14:paraId="245E3648">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w:t>
            </w:r>
          </w:p>
        </w:tc>
        <w:tc>
          <w:tcPr>
            <w:tcW w:w="821" w:type="pct"/>
            <w:vAlign w:val="center"/>
          </w:tcPr>
          <w:p w14:paraId="4D55358F">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市生态环境局花都分局、区农业农村局、区住房城乡建设局</w:t>
            </w:r>
          </w:p>
        </w:tc>
        <w:tc>
          <w:tcPr>
            <w:tcW w:w="571" w:type="pct"/>
            <w:vAlign w:val="center"/>
          </w:tcPr>
          <w:p w14:paraId="58F47AC7">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预期性</w:t>
            </w:r>
          </w:p>
        </w:tc>
      </w:tr>
      <w:tr w14:paraId="6412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6B9121A0">
            <w:pPr>
              <w:jc w:val="center"/>
              <w:rPr>
                <w:rFonts w:hint="eastAsia" w:ascii="宋体" w:hAnsi="宋体" w:eastAsia="宋体" w:cs="Times New Roman"/>
                <w:kern w:val="0"/>
                <w:sz w:val="24"/>
                <w:szCs w:val="24"/>
              </w:rPr>
            </w:pPr>
          </w:p>
        </w:tc>
        <w:tc>
          <w:tcPr>
            <w:tcW w:w="265" w:type="pct"/>
            <w:vAlign w:val="center"/>
          </w:tcPr>
          <w:p w14:paraId="39C3EF9C">
            <w:pPr>
              <w:numPr>
                <w:ilvl w:val="0"/>
                <w:numId w:val="1"/>
              </w:numPr>
              <w:contextualSpacing/>
              <w:jc w:val="center"/>
              <w:rPr>
                <w:rFonts w:hint="eastAsia" w:ascii="宋体" w:hAnsi="宋体" w:eastAsia="宋体" w:cs="Times New Roman"/>
                <w:kern w:val="0"/>
                <w:sz w:val="24"/>
                <w:szCs w:val="24"/>
              </w:rPr>
            </w:pPr>
          </w:p>
        </w:tc>
        <w:tc>
          <w:tcPr>
            <w:tcW w:w="1026" w:type="pct"/>
            <w:gridSpan w:val="2"/>
            <w:vAlign w:val="center"/>
          </w:tcPr>
          <w:p w14:paraId="2CCC1082">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美丽河湖建成</w:t>
            </w:r>
            <w:r>
              <w:rPr>
                <w:rFonts w:ascii="宋体" w:hAnsi="宋体" w:eastAsia="宋体" w:cs="Times New Roman"/>
                <w:kern w:val="0"/>
                <w:sz w:val="24"/>
                <w:szCs w:val="24"/>
              </w:rPr>
              <w:t>数量</w:t>
            </w:r>
          </w:p>
        </w:tc>
        <w:tc>
          <w:tcPr>
            <w:tcW w:w="409" w:type="pct"/>
            <w:vAlign w:val="center"/>
          </w:tcPr>
          <w:p w14:paraId="2BA22717">
            <w:pPr>
              <w:jc w:val="center"/>
              <w:rPr>
                <w:rFonts w:hint="eastAsia" w:ascii="宋体" w:hAnsi="宋体" w:eastAsia="宋体" w:cs="Times New Roman"/>
                <w:kern w:val="0"/>
                <w:sz w:val="24"/>
                <w:szCs w:val="24"/>
              </w:rPr>
            </w:pPr>
            <w:r>
              <w:rPr>
                <w:rFonts w:ascii="宋体" w:hAnsi="宋体" w:eastAsia="宋体" w:cs="Times New Roman"/>
                <w:kern w:val="0"/>
                <w:sz w:val="24"/>
                <w:szCs w:val="24"/>
              </w:rPr>
              <w:t>个</w:t>
            </w:r>
          </w:p>
        </w:tc>
        <w:tc>
          <w:tcPr>
            <w:tcW w:w="904" w:type="pct"/>
            <w:vAlign w:val="center"/>
          </w:tcPr>
          <w:p w14:paraId="06C26B5C">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w:t>
            </w:r>
          </w:p>
        </w:tc>
        <w:tc>
          <w:tcPr>
            <w:tcW w:w="738" w:type="pct"/>
            <w:vAlign w:val="center"/>
          </w:tcPr>
          <w:p w14:paraId="6B9D5F44">
            <w:pPr>
              <w:jc w:val="center"/>
              <w:rPr>
                <w:rFonts w:hint="eastAsia" w:ascii="宋体" w:hAnsi="宋体" w:eastAsia="宋体" w:cs="Times New Roman"/>
                <w:kern w:val="0"/>
                <w:sz w:val="24"/>
                <w:szCs w:val="24"/>
              </w:rPr>
            </w:pPr>
            <w:r>
              <w:rPr>
                <w:rFonts w:ascii="宋体" w:hAnsi="宋体" w:eastAsia="宋体" w:cs="Times New Roman"/>
                <w:kern w:val="0"/>
                <w:sz w:val="24"/>
                <w:szCs w:val="24"/>
              </w:rPr>
              <w:t>2</w:t>
            </w:r>
          </w:p>
        </w:tc>
        <w:tc>
          <w:tcPr>
            <w:tcW w:w="821" w:type="pct"/>
            <w:vAlign w:val="center"/>
          </w:tcPr>
          <w:p w14:paraId="0F5CB269">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市生态环境局</w:t>
            </w:r>
            <w:r>
              <w:rPr>
                <w:rFonts w:ascii="宋体" w:hAnsi="宋体" w:eastAsia="宋体" w:cs="Times New Roman"/>
                <w:kern w:val="0"/>
                <w:sz w:val="24"/>
                <w:szCs w:val="24"/>
              </w:rPr>
              <w:t>花都</w:t>
            </w:r>
            <w:r>
              <w:rPr>
                <w:rFonts w:hint="eastAsia" w:ascii="宋体" w:hAnsi="宋体" w:eastAsia="宋体" w:cs="Times New Roman"/>
                <w:kern w:val="0"/>
                <w:sz w:val="24"/>
                <w:szCs w:val="24"/>
              </w:rPr>
              <w:t>分局</w:t>
            </w:r>
          </w:p>
        </w:tc>
        <w:tc>
          <w:tcPr>
            <w:tcW w:w="571" w:type="pct"/>
            <w:vAlign w:val="center"/>
          </w:tcPr>
          <w:p w14:paraId="72351F9D">
            <w:pPr>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预期性</w:t>
            </w:r>
          </w:p>
        </w:tc>
      </w:tr>
    </w:tbl>
    <w:p w14:paraId="329A2EEF">
      <w:pPr>
        <w:widowControl/>
        <w:jc w:val="left"/>
        <w:rPr>
          <w:rFonts w:ascii="Times New Roman" w:hAnsi="Times New Roman" w:eastAsia="黑体" w:cs="Times New Roman"/>
          <w:bCs/>
          <w:sz w:val="32"/>
          <w:szCs w:val="32"/>
        </w:rPr>
      </w:pPr>
      <w:bookmarkStart w:id="10" w:name="_Hlk216562067"/>
    </w:p>
    <w:p w14:paraId="45385A0F">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11" w:name="_Toc240879629"/>
      <w:r>
        <w:rPr>
          <w:rFonts w:hint="eastAsia" w:ascii="Times New Roman" w:hAnsi="Times New Roman" w:eastAsia="黑体" w:cs="Times New Roman"/>
          <w:bCs/>
          <w:color w:val="auto"/>
          <w:sz w:val="32"/>
          <w:szCs w:val="32"/>
        </w:rPr>
        <w:t>第三章 推动绿色低碳高质量发展</w:t>
      </w:r>
      <w:bookmarkEnd w:id="11"/>
    </w:p>
    <w:p w14:paraId="6FEDD029">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kern w:val="44"/>
          <w:sz w:val="32"/>
          <w:szCs w:val="44"/>
        </w:rPr>
      </w:pPr>
      <w:bookmarkStart w:id="12" w:name="_Toc240879630"/>
      <w:bookmarkStart w:id="13" w:name="_Toc231586056"/>
      <w:r>
        <w:rPr>
          <w:rFonts w:hint="eastAsia" w:ascii="Times New Roman" w:hAnsi="Times New Roman" w:eastAsia="楷体" w:cs="Times New Roman"/>
          <w:bCs/>
          <w:color w:val="auto"/>
          <w:kern w:val="44"/>
          <w:sz w:val="32"/>
          <w:szCs w:val="44"/>
        </w:rPr>
        <w:t>第一节 稳妥推进碳达峰碳中和</w:t>
      </w:r>
      <w:bookmarkEnd w:id="12"/>
      <w:bookmarkEnd w:id="13"/>
    </w:p>
    <w:p w14:paraId="1157B03B">
      <w:pPr>
        <w:widowControl/>
        <w:spacing w:line="600" w:lineRule="exact"/>
        <w:ind w:firstLine="643" w:firstLineChars="200"/>
        <w:rPr>
          <w:rFonts w:ascii="Times New Roman" w:hAnsi="Times New Roman" w:eastAsia="仿宋_GB2312" w:cs="Times New Roman"/>
          <w:sz w:val="32"/>
          <w14:ligatures w14:val="standardContextual"/>
        </w:rPr>
      </w:pPr>
      <w:r>
        <w:rPr>
          <w:rFonts w:ascii="Times New Roman" w:hAnsi="Times New Roman" w:eastAsia="仿宋_GB2312" w:cs="Times New Roman"/>
          <w:b/>
          <w:bCs/>
          <w:sz w:val="32"/>
          <w14:ligatures w14:val="standardContextual"/>
        </w:rPr>
        <w:t>全面落实碳排放总量和强度双控制度。</w:t>
      </w:r>
      <w:r>
        <w:rPr>
          <w:rFonts w:ascii="Times New Roman" w:hAnsi="Times New Roman" w:eastAsia="仿宋_GB2312" w:cs="Times New Roman"/>
          <w:sz w:val="32"/>
          <w14:ligatures w14:val="standardContextual"/>
        </w:rPr>
        <w:t>全面落实国家碳达峰试点城市建设任务，</w:t>
      </w:r>
      <w:r>
        <w:rPr>
          <w:rFonts w:ascii="Times New Roman" w:hAnsi="Times New Roman" w:eastAsia="仿宋_GB2312" w:cs="Times New Roman"/>
          <w:sz w:val="32"/>
          <w:szCs w:val="32"/>
          <w14:ligatures w14:val="standardContextual"/>
        </w:rPr>
        <w:t>积极稳妥推进能耗“双控”向碳排放“双控”转变，支持条件成熟的行业和企业率先实现碳达峰。</w:t>
      </w:r>
      <w:r>
        <w:rPr>
          <w:rFonts w:ascii="Times New Roman" w:hAnsi="Times New Roman" w:eastAsia="仿宋_GB2312" w:cs="Times New Roman"/>
          <w:sz w:val="32"/>
          <w14:ligatures w14:val="standardContextual"/>
        </w:rPr>
        <w:t>推行全区及重点碳排放单位碳预算管理，建立区重点碳排放单位的碳排放预算台账。</w:t>
      </w:r>
      <w:r>
        <w:rPr>
          <w:rFonts w:hint="eastAsia" w:ascii="Times New Roman" w:hAnsi="Times New Roman" w:eastAsia="仿宋_GB2312" w:cs="Times New Roman"/>
          <w:color w:val="000000" w:themeColor="text1"/>
          <w:sz w:val="32"/>
          <w14:textFill>
            <w14:solidFill>
              <w14:schemeClr w14:val="tx1"/>
            </w14:solidFill>
          </w14:textFill>
          <w14:ligatures w14:val="standardContextual"/>
        </w:rPr>
        <w:t>加强</w:t>
      </w:r>
      <w:r>
        <w:rPr>
          <w:rFonts w:ascii="Times New Roman" w:hAnsi="Times New Roman" w:eastAsia="仿宋_GB2312" w:cs="Times New Roman"/>
          <w:color w:val="000000" w:themeColor="text1"/>
          <w:sz w:val="32"/>
          <w14:textFill>
            <w14:solidFill>
              <w14:schemeClr w14:val="tx1"/>
            </w14:solidFill>
          </w14:textFill>
          <w14:ligatures w14:val="standardContextual"/>
        </w:rPr>
        <w:t>非二氧化碳温室气体</w:t>
      </w:r>
      <w:r>
        <w:rPr>
          <w:rFonts w:hint="eastAsia" w:ascii="Times New Roman" w:hAnsi="Times New Roman" w:eastAsia="仿宋_GB2312" w:cs="Times New Roman"/>
          <w:color w:val="000000" w:themeColor="text1"/>
          <w:sz w:val="32"/>
          <w14:textFill>
            <w14:solidFill>
              <w14:schemeClr w14:val="tx1"/>
            </w14:solidFill>
          </w14:textFill>
          <w14:ligatures w14:val="standardContextual"/>
        </w:rPr>
        <w:t>管控。</w:t>
      </w:r>
      <w:r>
        <w:rPr>
          <w:rFonts w:ascii="Times New Roman" w:hAnsi="Times New Roman" w:eastAsia="仿宋_GB2312" w:cs="Times New Roman"/>
          <w:sz w:val="32"/>
          <w14:ligatures w14:val="standardContextual"/>
        </w:rPr>
        <w:t>探索开展低碳企业、产品认证和碳足迹评价。</w:t>
      </w:r>
      <w:r>
        <w:rPr>
          <w:rFonts w:ascii="Times New Roman" w:hAnsi="Times New Roman" w:eastAsia="仿宋_GB2312" w:cs="Times New Roman"/>
          <w:color w:val="000000"/>
          <w:kern w:val="0"/>
          <w:sz w:val="31"/>
          <w:szCs w:val="31"/>
          <w:lang w:bidi="ar"/>
          <w14:ligatures w14:val="standardContextual"/>
        </w:rPr>
        <w:t>积极探索减污降碳协同增效园区建设，支持企业开展“零碳工厂”认证，打造一批绿色低碳示范载体，推广零碳场景。</w:t>
      </w:r>
    </w:p>
    <w:p w14:paraId="62CECEC0">
      <w:pPr>
        <w:widowControl/>
        <w:spacing w:line="600" w:lineRule="exact"/>
        <w:ind w:firstLine="643" w:firstLineChars="200"/>
        <w:rPr>
          <w:rFonts w:ascii="Times New Roman" w:hAnsi="Times New Roman" w:eastAsia="仿宋_GB2312" w:cs="Times New Roman"/>
          <w:sz w:val="32"/>
          <w14:ligatures w14:val="standardContextual"/>
        </w:rPr>
      </w:pPr>
      <w:r>
        <w:rPr>
          <w:rFonts w:ascii="Times New Roman" w:hAnsi="Times New Roman" w:eastAsia="仿宋_GB2312" w:cs="Times New Roman"/>
          <w:b/>
          <w:bCs/>
          <w:sz w:val="32"/>
          <w14:ligatures w14:val="standardContextual"/>
        </w:rPr>
        <w:t>强化生态系统固碳能力</w:t>
      </w:r>
      <w:r>
        <w:rPr>
          <w:rFonts w:ascii="Times New Roman" w:hAnsi="Times New Roman" w:eastAsia="仿宋_GB2312" w:cs="Times New Roman"/>
          <w:sz w:val="32"/>
          <w14:ligatures w14:val="standardContextual"/>
        </w:rPr>
        <w:t>。依托“一湾两带多廊”生态空间格局，分类推进</w:t>
      </w:r>
      <w:r>
        <w:rPr>
          <w:rFonts w:hint="eastAsia" w:ascii="Times New Roman" w:hAnsi="Times New Roman" w:eastAsia="仿宋_GB2312" w:cs="Times New Roman"/>
          <w:sz w:val="32"/>
          <w14:ligatures w14:val="standardContextual"/>
        </w:rPr>
        <w:t>各类</w:t>
      </w:r>
      <w:r>
        <w:rPr>
          <w:rFonts w:ascii="Times New Roman" w:hAnsi="Times New Roman" w:eastAsia="仿宋_GB2312" w:cs="Times New Roman"/>
          <w:sz w:val="32"/>
          <w14:ligatures w14:val="standardContextual"/>
        </w:rPr>
        <w:t>生态系统固碳增汇。提升王子山森林公园、九龙潭森林公园等重点生态区域森林质量，</w:t>
      </w:r>
      <w:r>
        <w:rPr>
          <w:rFonts w:hint="eastAsia" w:ascii="Times New Roman" w:hAnsi="Times New Roman" w:eastAsia="仿宋_GB2312" w:cs="Times New Roman"/>
          <w:sz w:val="32"/>
          <w14:ligatures w14:val="standardContextual"/>
        </w:rPr>
        <w:t>加强森林抚育经营和低效林提升。</w:t>
      </w:r>
      <w:r>
        <w:rPr>
          <w:rFonts w:ascii="Times New Roman" w:hAnsi="Times New Roman" w:eastAsia="仿宋_GB2312" w:cs="Times New Roman"/>
          <w:sz w:val="32"/>
          <w14:ligatures w14:val="standardContextual"/>
        </w:rPr>
        <w:t>推进花都湖国家湿地公园、</w:t>
      </w:r>
      <w:r>
        <w:rPr>
          <w:rFonts w:hint="eastAsia" w:ascii="Times New Roman" w:hAnsi="Times New Roman" w:eastAsia="仿宋_GB2312" w:cs="Times New Roman"/>
          <w:sz w:val="32"/>
          <w14:ligatures w14:val="standardContextual"/>
        </w:rPr>
        <w:t>流溪河、白坭河</w:t>
      </w:r>
      <w:r>
        <w:rPr>
          <w:rFonts w:ascii="Times New Roman" w:hAnsi="Times New Roman" w:eastAsia="仿宋_GB2312" w:cs="Times New Roman"/>
          <w:sz w:val="32"/>
          <w14:ligatures w14:val="standardContextual"/>
        </w:rPr>
        <w:t>等重要湿地生态修复与品质提升，增强湿地碳汇功能。推广保护性耕作、有机肥替代化肥等耕地质量提升措施，加强农作物秸秆和畜禽养殖废弃物资源化利用，推动农业减排固碳。</w:t>
      </w:r>
      <w:r>
        <w:rPr>
          <w:rFonts w:hint="eastAsia" w:ascii="Times New Roman" w:hAnsi="Times New Roman" w:eastAsia="仿宋_GB2312" w:cs="Times New Roman"/>
          <w:sz w:val="32"/>
          <w14:ligatures w14:val="standardContextual"/>
        </w:rPr>
        <w:t>以</w:t>
      </w:r>
      <w:r>
        <w:rPr>
          <w:rFonts w:ascii="Times New Roman" w:hAnsi="Times New Roman" w:eastAsia="仿宋_GB2312" w:cs="Times New Roman"/>
          <w:sz w:val="32"/>
          <w14:ligatures w14:val="standardContextual"/>
        </w:rPr>
        <w:t>飞鹅岭山顶公园、马鞍山公园、花都区人民公园、秀全公园</w:t>
      </w:r>
      <w:r>
        <w:rPr>
          <w:rFonts w:hint="eastAsia" w:ascii="Times New Roman" w:hAnsi="Times New Roman" w:eastAsia="仿宋_GB2312" w:cs="Times New Roman"/>
          <w:sz w:val="32"/>
          <w14:ligatures w14:val="standardContextual"/>
        </w:rPr>
        <w:t>等重要城市公园为重点</w:t>
      </w:r>
      <w:r>
        <w:rPr>
          <w:rFonts w:ascii="Times New Roman" w:hAnsi="Times New Roman" w:eastAsia="仿宋_GB2312" w:cs="Times New Roman"/>
          <w:sz w:val="32"/>
          <w14:ligatures w14:val="standardContextual"/>
        </w:rPr>
        <w:t>，提升城区公园绿地的碳汇能力</w:t>
      </w:r>
      <w:r>
        <w:rPr>
          <w:rFonts w:hint="eastAsia" w:ascii="Times New Roman" w:hAnsi="Times New Roman" w:eastAsia="仿宋_GB2312" w:cs="Times New Roman"/>
          <w:sz w:val="32"/>
          <w14:ligatures w14:val="standardContextual"/>
        </w:rPr>
        <w:t>。</w:t>
      </w:r>
    </w:p>
    <w:p w14:paraId="367E25F0">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14" w:name="_Toc240879631"/>
      <w:r>
        <w:rPr>
          <w:rFonts w:hint="eastAsia" w:ascii="Times New Roman" w:hAnsi="Times New Roman" w:eastAsia="楷体" w:cs="Times New Roman"/>
          <w:bCs/>
          <w:color w:val="auto"/>
          <w:kern w:val="44"/>
          <w:sz w:val="32"/>
          <w:szCs w:val="44"/>
        </w:rPr>
        <w:t>第二节 推动产业绿色低碳发展</w:t>
      </w:r>
      <w:bookmarkEnd w:id="14"/>
    </w:p>
    <w:p w14:paraId="3CCA9F24">
      <w:pPr>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推动传统产业绿色低碳转型。</w:t>
      </w:r>
      <w:r>
        <w:rPr>
          <w:rFonts w:hint="eastAsia" w:ascii="Times New Roman" w:hAnsi="Times New Roman" w:eastAsia="仿宋" w:cs="Times New Roman"/>
          <w:sz w:val="32"/>
          <w:szCs w:val="32"/>
        </w:rPr>
        <w:t>强化新上</w:t>
      </w:r>
      <w:r>
        <w:rPr>
          <w:rFonts w:ascii="Times New Roman" w:hAnsi="Times New Roman" w:eastAsia="仿宋" w:cs="Times New Roman"/>
          <w:sz w:val="32"/>
          <w:szCs w:val="32"/>
        </w:rPr>
        <w:t>“</w:t>
      </w:r>
      <w:r>
        <w:rPr>
          <w:rFonts w:hint="eastAsia" w:ascii="Times New Roman" w:hAnsi="Times New Roman" w:eastAsia="仿宋" w:cs="Times New Roman"/>
          <w:sz w:val="32"/>
          <w:szCs w:val="32"/>
        </w:rPr>
        <w:t>两高一低</w:t>
      </w:r>
      <w:r>
        <w:rPr>
          <w:rFonts w:ascii="Times New Roman" w:hAnsi="Times New Roman" w:eastAsia="仿宋" w:cs="Times New Roman"/>
          <w:sz w:val="32"/>
          <w:szCs w:val="32"/>
        </w:rPr>
        <w:t>”</w:t>
      </w:r>
      <w:r>
        <w:rPr>
          <w:rFonts w:hint="eastAsia" w:ascii="Times New Roman" w:hAnsi="Times New Roman" w:eastAsia="仿宋" w:cs="Times New Roman"/>
          <w:sz w:val="32"/>
          <w:szCs w:val="32"/>
        </w:rPr>
        <w:t>项目源头把关，新建项目能效指标需达到国内先进水平。推动灯光音响、纺织服装、皮具箱包、美妆日化等传统特色产业加快绿色转型，高标准建设国际时尚智港、万洋时尚城、皮具设计之都基地、中国美都</w:t>
      </w:r>
      <w:r>
        <w:rPr>
          <w:rFonts w:ascii="Times New Roman" w:hAnsi="Times New Roman" w:eastAsia="仿宋" w:cs="Times New Roman"/>
          <w:sz w:val="32"/>
          <w:szCs w:val="32"/>
        </w:rPr>
        <w:t>“</w:t>
      </w:r>
      <w:r>
        <w:rPr>
          <w:rFonts w:hint="eastAsia" w:ascii="Times New Roman" w:hAnsi="Times New Roman" w:eastAsia="仿宋" w:cs="Times New Roman"/>
          <w:sz w:val="32"/>
          <w:szCs w:val="32"/>
        </w:rPr>
        <w:t>一核四园</w:t>
      </w:r>
      <w:r>
        <w:rPr>
          <w:rFonts w:ascii="Times New Roman" w:hAnsi="Times New Roman" w:eastAsia="仿宋" w:cs="Times New Roman"/>
          <w:sz w:val="32"/>
          <w:szCs w:val="32"/>
        </w:rPr>
        <w:t>”</w:t>
      </w:r>
      <w:r>
        <w:rPr>
          <w:rFonts w:hint="eastAsia" w:ascii="Times New Roman" w:hAnsi="Times New Roman" w:eastAsia="仿宋" w:cs="Times New Roman"/>
          <w:sz w:val="32"/>
          <w:szCs w:val="32"/>
        </w:rPr>
        <w:t>、声光电产业园等载体，推动企业集聚化发展。推进传统产业园区开展集中供电、共同治污、能源资源梯级利用、废物循环利用和污染物集中处置等循环改造。推动制造业清洁生产改造，</w:t>
      </w:r>
      <w:r>
        <w:rPr>
          <w:rFonts w:ascii="Times New Roman" w:hAnsi="Times New Roman" w:eastAsia="仿宋" w:cs="Times New Roman"/>
          <w:sz w:val="32"/>
          <w:szCs w:val="32"/>
        </w:rPr>
        <w:t>引导企业构建绿色供应链体系。</w:t>
      </w:r>
      <w:r>
        <w:rPr>
          <w:rFonts w:hint="eastAsia" w:ascii="Times New Roman" w:hAnsi="Times New Roman" w:eastAsia="仿宋" w:cs="Times New Roman"/>
          <w:sz w:val="32"/>
          <w:szCs w:val="32"/>
        </w:rPr>
        <w:t>加快推动岐山村、广塘村村镇工业集聚区升级改造，深化罗仙村、岐山村留用地统筹开发试点。</w:t>
      </w:r>
    </w:p>
    <w:p w14:paraId="44480E48">
      <w:pPr>
        <w:ind w:firstLine="643" w:firstLineChars="200"/>
        <w:rPr>
          <w:rFonts w:ascii="Times New Roman" w:hAnsi="Times New Roman" w:eastAsia="仿宋" w:cs="Times New Roman"/>
          <w:b/>
          <w:bCs/>
          <w:sz w:val="32"/>
          <w:szCs w:val="32"/>
        </w:rPr>
      </w:pPr>
      <w:r>
        <w:rPr>
          <w:rFonts w:ascii="Times New Roman" w:hAnsi="Times New Roman" w:eastAsia="仿宋" w:cs="Times New Roman"/>
          <w:b/>
          <w:bCs/>
          <w:sz w:val="32"/>
          <w:szCs w:val="32"/>
        </w:rPr>
        <w:t>大力发展绿色低碳产业。</w:t>
      </w:r>
      <w:r>
        <w:rPr>
          <w:rFonts w:ascii="Times New Roman" w:hAnsi="Times New Roman" w:eastAsia="仿宋" w:cs="Times New Roman"/>
          <w:sz w:val="32"/>
          <w:szCs w:val="32"/>
        </w:rPr>
        <w:t>全力构建“12635”现代化产业体系，打造智能网联与新能源汽车、新能源与新型储能、低空经济与航空航天</w:t>
      </w:r>
      <w:r>
        <w:rPr>
          <w:rFonts w:hint="eastAsia" w:ascii="Times New Roman" w:hAnsi="Times New Roman" w:eastAsia="仿宋" w:cs="Times New Roman"/>
          <w:sz w:val="32"/>
          <w:szCs w:val="32"/>
        </w:rPr>
        <w:t>、智能装备与机器人、生物医药与健康</w:t>
      </w:r>
      <w:r>
        <w:rPr>
          <w:rFonts w:ascii="Times New Roman" w:hAnsi="Times New Roman" w:eastAsia="仿宋" w:cs="Times New Roman"/>
          <w:sz w:val="32"/>
          <w:szCs w:val="32"/>
        </w:rPr>
        <w:t>等</w:t>
      </w:r>
      <w:r>
        <w:rPr>
          <w:rFonts w:hint="eastAsia" w:ascii="Times New Roman" w:hAnsi="Times New Roman" w:eastAsia="仿宋" w:cs="Times New Roman"/>
          <w:sz w:val="32"/>
          <w:szCs w:val="32"/>
        </w:rPr>
        <w:t>战略性</w:t>
      </w:r>
      <w:r>
        <w:rPr>
          <w:rFonts w:ascii="Times New Roman" w:hAnsi="Times New Roman" w:eastAsia="仿宋" w:cs="Times New Roman"/>
          <w:sz w:val="32"/>
          <w:szCs w:val="32"/>
        </w:rPr>
        <w:t>产业</w:t>
      </w:r>
      <w:r>
        <w:rPr>
          <w:rFonts w:hint="eastAsia" w:ascii="Times New Roman" w:hAnsi="Times New Roman" w:eastAsia="仿宋" w:cs="Times New Roman"/>
          <w:sz w:val="32"/>
          <w:szCs w:val="32"/>
        </w:rPr>
        <w:t>集群</w:t>
      </w:r>
      <w:r>
        <w:rPr>
          <w:rFonts w:ascii="Times New Roman" w:hAnsi="Times New Roman" w:eastAsia="仿宋" w:cs="Times New Roman"/>
          <w:sz w:val="32"/>
          <w:szCs w:val="32"/>
        </w:rPr>
        <w:t>，</w:t>
      </w:r>
      <w:r>
        <w:rPr>
          <w:rFonts w:hint="eastAsia" w:ascii="Times New Roman" w:hAnsi="Times New Roman" w:eastAsia="仿宋" w:cs="Times New Roman"/>
          <w:sz w:val="32"/>
          <w:szCs w:val="32"/>
        </w:rPr>
        <w:t>以具身智能、前沿新材料、细胞与基因为重点布局未来产业</w:t>
      </w:r>
      <w:r>
        <w:rPr>
          <w:rFonts w:ascii="Times New Roman" w:hAnsi="Times New Roman" w:eastAsia="仿宋" w:cs="Times New Roman"/>
          <w:sz w:val="32"/>
          <w:szCs w:val="32"/>
        </w:rPr>
        <w:t>。构建“整车制造+零部件+智能网联技术龙头”产业集群，支持企业加快电动化、智能化转型，高标准建设广州市汽车零部件再制造产业园。加快粤港澳大湾区“绿能谷”建设，聚焦光伏、新型储能、氢能、新能源汽车、智能电网五大方向，打造新能源与新型储能产业制高点。布局“源网荷储”全产业链，推动光伏电站与储能产业融合发展。壮大低空经济与航空航天产业，加快</w:t>
      </w:r>
      <w:r>
        <w:rPr>
          <w:rFonts w:hint="eastAsia" w:ascii="Times New Roman" w:hAnsi="Times New Roman" w:eastAsia="仿宋" w:cs="Times New Roman"/>
          <w:sz w:val="32"/>
          <w:szCs w:val="32"/>
        </w:rPr>
        <w:t>低空经济基础设施</w:t>
      </w:r>
      <w:r>
        <w:rPr>
          <w:rFonts w:ascii="Times New Roman" w:hAnsi="Times New Roman" w:eastAsia="仿宋" w:cs="Times New Roman"/>
          <w:sz w:val="32"/>
          <w:szCs w:val="32"/>
        </w:rPr>
        <w:t>建设。以秀湖科创集聚区、临空数智港、花都湖数智先锋港等为主体，探索建设高规格低碳（零碳）产业专业园区。</w:t>
      </w:r>
    </w:p>
    <w:p w14:paraId="586E3C70">
      <w:pPr>
        <w:adjustRightInd w:val="0"/>
        <w:snapToGrid w:val="0"/>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提升都市现代农业绿色发展水平。</w:t>
      </w:r>
      <w:r>
        <w:rPr>
          <w:rFonts w:ascii="Times New Roman" w:hAnsi="Times New Roman" w:eastAsia="仿宋" w:cs="Times New Roman"/>
          <w:sz w:val="32"/>
          <w:szCs w:val="32"/>
        </w:rPr>
        <w:t>壮大盆景、花卉、渔业、果蔬、畜禽等特色产业集群，支持企业建设标准化生产基地。推广应用绿色低碳农业生产技术，持续抓好化肥农药减量增效，加强农作物秸秆和畜禽养殖废弃物资源化利用。深化农文旅产业融合发展，巩固提升以瑞岭盆景为代表的盆景盆栽产业优势，推动乡村生态优势向经济优势转化。</w:t>
      </w:r>
    </w:p>
    <w:p w14:paraId="0C48BECF">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15" w:name="_Toc240879632"/>
      <w:r>
        <w:rPr>
          <w:rFonts w:hint="eastAsia" w:ascii="Times New Roman" w:hAnsi="Times New Roman" w:eastAsia="楷体" w:cs="Times New Roman"/>
          <w:bCs/>
          <w:color w:val="auto"/>
          <w:kern w:val="44"/>
          <w:sz w:val="32"/>
          <w:szCs w:val="44"/>
        </w:rPr>
        <w:t>第三节 强化能源资源集约节约利用</w:t>
      </w:r>
      <w:bookmarkEnd w:id="15"/>
    </w:p>
    <w:p w14:paraId="5DCCB23C">
      <w:pPr>
        <w:spacing w:line="560" w:lineRule="exact"/>
        <w:ind w:firstLine="643" w:firstLineChars="200"/>
        <w:rPr>
          <w:rFonts w:hint="eastAsia" w:ascii="仿宋" w:hAnsi="仿宋" w:eastAsia="仿宋" w:cs="Times New Roman"/>
          <w:sz w:val="32"/>
          <w:szCs w:val="32"/>
        </w:rPr>
      </w:pPr>
      <w:r>
        <w:rPr>
          <w:rFonts w:hint="eastAsia" w:ascii="仿宋" w:hAnsi="仿宋" w:eastAsia="仿宋" w:cs="Times New Roman"/>
          <w:b/>
          <w:bCs/>
          <w:sz w:val="32"/>
          <w:szCs w:val="20"/>
        </w:rPr>
        <w:t>稳步推进能源绿色低碳转型。</w:t>
      </w:r>
      <w:r>
        <w:rPr>
          <w:rFonts w:hint="eastAsia" w:ascii="仿宋" w:hAnsi="仿宋" w:eastAsia="仿宋" w:cs="Times New Roman"/>
          <w:sz w:val="32"/>
          <w:szCs w:val="32"/>
        </w:rPr>
        <w:t>加强化石能源清洁高效利用，大力发展清洁能源和可再生能源，科学布局新型储能设施。深化</w:t>
      </w:r>
      <w:r>
        <w:rPr>
          <w:rFonts w:ascii="仿宋" w:hAnsi="仿宋" w:eastAsia="仿宋" w:cs="Times New Roman"/>
          <w:sz w:val="32"/>
          <w:szCs w:val="32"/>
        </w:rPr>
        <w:t>“</w:t>
      </w:r>
      <w:r>
        <w:rPr>
          <w:rFonts w:hint="eastAsia" w:ascii="仿宋" w:hAnsi="仿宋" w:eastAsia="仿宋" w:cs="Times New Roman"/>
          <w:sz w:val="32"/>
          <w:szCs w:val="32"/>
        </w:rPr>
        <w:t>光伏</w:t>
      </w:r>
      <w:r>
        <w:rPr>
          <w:rFonts w:ascii="仿宋" w:hAnsi="仿宋" w:eastAsia="仿宋" w:cs="Times New Roman"/>
          <w:sz w:val="32"/>
          <w:szCs w:val="32"/>
        </w:rPr>
        <w:t>+</w:t>
      </w:r>
      <w:r>
        <w:rPr>
          <w:rFonts w:hint="eastAsia" w:ascii="仿宋" w:hAnsi="仿宋" w:eastAsia="仿宋" w:cs="Times New Roman"/>
          <w:sz w:val="32"/>
          <w:szCs w:val="32"/>
        </w:rPr>
        <w:t>建筑</w:t>
      </w:r>
      <w:r>
        <w:rPr>
          <w:rFonts w:ascii="仿宋" w:hAnsi="仿宋" w:eastAsia="仿宋" w:cs="Times New Roman"/>
          <w:sz w:val="32"/>
          <w:szCs w:val="32"/>
        </w:rPr>
        <w:t>”</w:t>
      </w:r>
      <w:r>
        <w:rPr>
          <w:rFonts w:hint="eastAsia" w:ascii="仿宋" w:hAnsi="仿宋" w:eastAsia="仿宋" w:cs="Times New Roman"/>
          <w:sz w:val="32"/>
          <w:szCs w:val="32"/>
        </w:rPr>
        <w:t>应用试点，深挖分布式光伏潜力。加快氢能源汽车配套网络建设，优先在高速公路服务区、物流枢纽等区域布局加氢站与制加氢一体站，推动形成绿色便捷的氢能供给体系。</w:t>
      </w:r>
    </w:p>
    <w:p w14:paraId="10DE99FE">
      <w:pPr>
        <w:spacing w:line="580" w:lineRule="exact"/>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加强资源节约集约高效利用。</w:t>
      </w:r>
      <w:r>
        <w:rPr>
          <w:rFonts w:hint="eastAsia" w:ascii="Times New Roman" w:hAnsi="Times New Roman" w:eastAsia="仿宋_GB2312" w:cs="仿宋_GB2312"/>
          <w:sz w:val="32"/>
          <w:szCs w:val="32"/>
        </w:rPr>
        <w:t>实行最严格水资源管理制度，深化工业、城镇、农业节水，积极推进再生水利用、雨水集蓄利用。</w:t>
      </w:r>
      <w:r>
        <w:rPr>
          <w:rFonts w:hint="eastAsia" w:ascii="Times New Roman" w:hAnsi="Times New Roman" w:eastAsia="仿宋_GB2312" w:cs="仿宋_GB2312"/>
          <w:bCs/>
          <w:sz w:val="32"/>
          <w:szCs w:val="32"/>
        </w:rPr>
        <w:t>全面推动全域土地综合整治</w:t>
      </w:r>
      <w:r>
        <w:rPr>
          <w:rFonts w:hint="eastAsia" w:ascii="Times New Roman" w:hAnsi="Times New Roman" w:eastAsia="仿宋_GB2312" w:cs="仿宋_GB2312"/>
          <w:sz w:val="32"/>
          <w:szCs w:val="32"/>
        </w:rPr>
        <w:t>，推广节地技术和模式，盘活存量空间和低效建设用地，持续推进土地资源节约集约利用。</w:t>
      </w:r>
    </w:p>
    <w:p w14:paraId="1D603FF5">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16" w:name="_Toc240879633"/>
      <w:r>
        <w:rPr>
          <w:rFonts w:hint="eastAsia" w:ascii="Times New Roman" w:hAnsi="Times New Roman" w:eastAsia="楷体" w:cs="Times New Roman"/>
          <w:bCs/>
          <w:color w:val="auto"/>
          <w:kern w:val="44"/>
          <w:sz w:val="32"/>
          <w:szCs w:val="44"/>
        </w:rPr>
        <w:t>第四节 加快重点领域低碳转型</w:t>
      </w:r>
      <w:bookmarkEnd w:id="16"/>
    </w:p>
    <w:p w14:paraId="38C3A03B">
      <w:pPr>
        <w:spacing w:line="560" w:lineRule="exact"/>
        <w:ind w:firstLine="643" w:firstLineChars="200"/>
        <w:rPr>
          <w:rFonts w:ascii="Times New Roman" w:hAnsi="Times New Roman" w:eastAsia="仿宋" w:cs="Times New Roman"/>
          <w:sz w:val="32"/>
          <w:szCs w:val="20"/>
        </w:rPr>
      </w:pPr>
      <w:r>
        <w:rPr>
          <w:rFonts w:ascii="Times New Roman" w:hAnsi="Times New Roman" w:eastAsia="仿宋" w:cs="Times New Roman"/>
          <w:b/>
          <w:bCs/>
          <w:sz w:val="32"/>
          <w:szCs w:val="20"/>
        </w:rPr>
        <w:t>加快推进建筑绿色低碳转型。</w:t>
      </w:r>
      <w:r>
        <w:rPr>
          <w:rFonts w:hint="eastAsia" w:ascii="Times New Roman" w:hAnsi="Times New Roman" w:eastAsia="仿宋" w:cs="Times New Roman"/>
          <w:sz w:val="32"/>
          <w:szCs w:val="20"/>
        </w:rPr>
        <w:t>加强推广绿色建材、绿色施工技术和绿色建造模式。到</w:t>
      </w:r>
      <w:r>
        <w:rPr>
          <w:rFonts w:ascii="Times New Roman" w:hAnsi="Times New Roman" w:eastAsia="仿宋" w:cs="Times New Roman"/>
          <w:sz w:val="32"/>
          <w:szCs w:val="20"/>
        </w:rPr>
        <w:t>2030</w:t>
      </w:r>
      <w:r>
        <w:rPr>
          <w:rFonts w:hint="eastAsia" w:ascii="Times New Roman" w:hAnsi="Times New Roman" w:eastAsia="仿宋" w:cs="Times New Roman"/>
          <w:sz w:val="32"/>
          <w:szCs w:val="20"/>
        </w:rPr>
        <w:t>年，新建民用建筑全面按照绿色建筑一星级及以上标准建设，高星级绿色建筑占当年新开工建筑比例达到</w:t>
      </w:r>
      <w:r>
        <w:rPr>
          <w:rFonts w:ascii="Times New Roman" w:hAnsi="Times New Roman" w:eastAsia="仿宋" w:cs="Times New Roman"/>
          <w:sz w:val="32"/>
          <w:szCs w:val="20"/>
        </w:rPr>
        <w:t>85%</w:t>
      </w:r>
      <w:r>
        <w:rPr>
          <w:rFonts w:hint="eastAsia" w:ascii="Times New Roman" w:hAnsi="Times New Roman" w:eastAsia="仿宋" w:cs="Times New Roman"/>
          <w:sz w:val="32"/>
          <w:szCs w:val="20"/>
        </w:rPr>
        <w:t>。推动智能建造与建筑工业化协同发展，实施建筑材料数字化管理。</w:t>
      </w:r>
    </w:p>
    <w:p w14:paraId="0E52E9B7">
      <w:pPr>
        <w:spacing w:line="560" w:lineRule="exact"/>
        <w:ind w:firstLine="643" w:firstLineChars="200"/>
        <w:rPr>
          <w:rFonts w:hint="eastAsia" w:ascii="仿宋" w:hAnsi="仿宋" w:eastAsia="仿宋" w:cs="Times New Roman"/>
          <w:sz w:val="32"/>
          <w:szCs w:val="20"/>
        </w:rPr>
      </w:pPr>
      <w:r>
        <w:rPr>
          <w:rFonts w:ascii="Times New Roman" w:hAnsi="Times New Roman" w:eastAsia="仿宋" w:cs="Times New Roman"/>
          <w:b/>
          <w:bCs/>
          <w:sz w:val="32"/>
          <w:szCs w:val="20"/>
        </w:rPr>
        <w:t>持续深化交通运输低碳转型。</w:t>
      </w:r>
      <w:r>
        <w:rPr>
          <w:rFonts w:hint="eastAsia" w:ascii="仿宋" w:hAnsi="仿宋" w:eastAsia="仿宋" w:cs="Times New Roman"/>
          <w:sz w:val="32"/>
          <w:szCs w:val="20"/>
        </w:rPr>
        <w:t>进一步优化交通运输结构，</w:t>
      </w:r>
      <w:r>
        <w:rPr>
          <w:rFonts w:hint="eastAsia" w:ascii="仿宋" w:hAnsi="仿宋" w:eastAsia="仿宋" w:cs="Times New Roman"/>
          <w:sz w:val="32"/>
          <w:szCs w:val="32"/>
        </w:rPr>
        <w:t>大力发展江海、公铁等多式联运。加快充换电、加氢站等基础设施网络布局，加大绿色交通基础设施建设力度。</w:t>
      </w:r>
      <w:r>
        <w:rPr>
          <w:rFonts w:hint="eastAsia" w:ascii="仿宋" w:hAnsi="仿宋" w:eastAsia="仿宋" w:cs="Times New Roman"/>
          <w:sz w:val="32"/>
          <w:szCs w:val="20"/>
        </w:rPr>
        <w:t>加快公务车、出租车、物流配送车、环卫车等城市公共服务车辆的电动化替代。推广电力、氢燃料、液化天然气动力重型货运车辆，鼓励新增和更新的建筑废弃物运输车、混凝土搅拌车、环卫作业车、物流运输车使用氢燃料电池汽车。</w:t>
      </w:r>
      <w:r>
        <w:rPr>
          <w:rFonts w:ascii="仿宋" w:hAnsi="仿宋" w:eastAsia="仿宋" w:cs="Times New Roman"/>
          <w:sz w:val="32"/>
          <w:szCs w:val="20"/>
        </w:rPr>
        <w:t>推进机场运行电动化，发展可持续航空燃料。</w:t>
      </w:r>
    </w:p>
    <w:p w14:paraId="3F10BC99">
      <w:pPr>
        <w:adjustRightInd w:val="0"/>
        <w:ind w:firstLine="643" w:firstLineChars="200"/>
        <w:rPr>
          <w:rFonts w:hint="eastAsia" w:ascii="仿宋" w:hAnsi="仿宋" w:eastAsia="仿宋"/>
          <w:sz w:val="32"/>
          <w:szCs w:val="32"/>
        </w:rPr>
      </w:pPr>
      <w:bookmarkStart w:id="17" w:name="_Toc182486951"/>
      <w:r>
        <w:rPr>
          <w:rFonts w:hint="eastAsia" w:ascii="Times New Roman" w:hAnsi="Times New Roman" w:eastAsia="仿宋_GB2312" w:cs="仿宋_GB2312"/>
          <w:b/>
          <w:bCs/>
          <w:sz w:val="32"/>
          <w:szCs w:val="32"/>
        </w:rPr>
        <w:t>开展节能减碳全民行动。</w:t>
      </w:r>
      <w:r>
        <w:rPr>
          <w:rFonts w:hint="eastAsia" w:ascii="仿宋" w:hAnsi="仿宋" w:eastAsia="仿宋" w:cs="仿宋_GB2312"/>
          <w:sz w:val="32"/>
          <w:szCs w:val="32"/>
        </w:rPr>
        <w:t>倡导绿色生活，引导消费者自觉落实“光盘行动”。限制使用一次性不可降解塑料袋、塑料餐具，推广使用可循环利用物品。加强垃圾分类宣传推广，提高市民垃圾分类的参与率、准确率</w:t>
      </w:r>
      <w:r>
        <w:rPr>
          <w:rFonts w:hint="eastAsia" w:ascii="仿宋" w:hAnsi="仿宋" w:eastAsia="仿宋"/>
          <w:sz w:val="32"/>
          <w:szCs w:val="32"/>
        </w:rPr>
        <w:t>。</w:t>
      </w:r>
    </w:p>
    <w:bookmarkEnd w:id="10"/>
    <w:bookmarkEnd w:id="17"/>
    <w:p w14:paraId="10824C95">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18" w:name="_Toc240879634"/>
      <w:r>
        <w:rPr>
          <w:rFonts w:hint="eastAsia" w:ascii="Times New Roman" w:hAnsi="Times New Roman" w:eastAsia="黑体" w:cs="Times New Roman"/>
          <w:bCs/>
          <w:color w:val="auto"/>
          <w:sz w:val="32"/>
          <w:szCs w:val="32"/>
        </w:rPr>
        <w:t>第四章 提升城区生态环境品质</w:t>
      </w:r>
      <w:bookmarkEnd w:id="18"/>
    </w:p>
    <w:p w14:paraId="67246878">
      <w:pPr>
        <w:widowControl/>
        <w:tabs>
          <w:tab w:val="left" w:pos="0"/>
        </w:tabs>
        <w:spacing w:before="312" w:beforeLines="100" w:after="312" w:afterLines="100" w:line="579" w:lineRule="exact"/>
        <w:ind w:left="420" w:leftChars="200"/>
        <w:jc w:val="center"/>
        <w:outlineLvl w:val="1"/>
        <w:rPr>
          <w:rFonts w:ascii="Times New Roman" w:hAnsi="Times New Roman" w:eastAsia="楷体" w:cs="Times New Roman"/>
          <w:bCs/>
          <w:kern w:val="44"/>
          <w:sz w:val="32"/>
          <w:szCs w:val="44"/>
        </w:rPr>
      </w:pPr>
      <w:bookmarkStart w:id="19" w:name="_Toc240879635"/>
      <w:r>
        <w:rPr>
          <w:rFonts w:hint="eastAsia" w:ascii="Times New Roman" w:hAnsi="Times New Roman" w:eastAsia="楷体" w:cs="Times New Roman"/>
          <w:bCs/>
          <w:kern w:val="44"/>
          <w:sz w:val="32"/>
          <w:szCs w:val="44"/>
        </w:rPr>
        <w:t>第一节 守护空气常新美丽蓝天</w:t>
      </w:r>
      <w:bookmarkEnd w:id="19"/>
    </w:p>
    <w:p w14:paraId="7AC8BEEC">
      <w:pPr>
        <w:spacing w:line="560" w:lineRule="exact"/>
        <w:ind w:firstLine="643" w:firstLineChars="200"/>
        <w:rPr>
          <w:rFonts w:ascii="Times New Roman" w:hAnsi="Times New Roman" w:eastAsia="仿宋" w:cs="Times New Roman"/>
          <w:sz w:val="32"/>
          <w:szCs w:val="20"/>
        </w:rPr>
      </w:pPr>
      <w:r>
        <w:rPr>
          <w:rFonts w:ascii="Times New Roman" w:hAnsi="Times New Roman" w:eastAsia="仿宋" w:cs="Times New Roman"/>
          <w:b/>
          <w:bCs/>
          <w:sz w:val="32"/>
          <w:szCs w:val="20"/>
        </w:rPr>
        <w:t>持续加强移动源治理。</w:t>
      </w:r>
      <w:r>
        <w:rPr>
          <w:rFonts w:hint="eastAsia" w:ascii="Times New Roman" w:hAnsi="Times New Roman" w:eastAsia="仿宋" w:cs="Times New Roman"/>
          <w:sz w:val="32"/>
          <w:szCs w:val="20"/>
        </w:rPr>
        <w:t>推动国Ⅳ及以下柴油货车更新淘汰，推动新能源重载货运车辆应用，加快淘汰高耗能高排放机械设备，持续推进港口船舶用能清洁化。倡导针对施工机械实行“油品直送”。深入实施重点区域周边道路优化及道路管控。推动重点用车大户运输清洁化，对遥感监测超标率10％以上的重点用车大户开展入户检查。强化机动车排放检验机构监管。持续推进</w:t>
      </w:r>
      <w:r>
        <w:rPr>
          <w:rFonts w:ascii="Times New Roman" w:hAnsi="Times New Roman" w:eastAsia="仿宋" w:cs="Times New Roman"/>
          <w:sz w:val="32"/>
          <w:szCs w:val="20"/>
        </w:rPr>
        <w:t>非道路移动机械</w:t>
      </w:r>
      <w:r>
        <w:rPr>
          <w:rFonts w:hint="eastAsia" w:ascii="Times New Roman" w:hAnsi="Times New Roman" w:eastAsia="仿宋" w:cs="Times New Roman"/>
          <w:sz w:val="32"/>
          <w:szCs w:val="20"/>
        </w:rPr>
        <w:t>编码登记。</w:t>
      </w:r>
    </w:p>
    <w:p w14:paraId="02516331">
      <w:pPr>
        <w:spacing w:line="560" w:lineRule="exact"/>
        <w:ind w:firstLine="643" w:firstLineChars="200"/>
        <w:rPr>
          <w:rFonts w:ascii="Times New Roman" w:hAnsi="Times New Roman" w:eastAsia="仿宋" w:cs="Times New Roman"/>
          <w:b/>
          <w:bCs/>
          <w:sz w:val="32"/>
          <w:szCs w:val="20"/>
        </w:rPr>
      </w:pPr>
      <w:r>
        <w:rPr>
          <w:rFonts w:ascii="Times New Roman" w:hAnsi="Times New Roman" w:eastAsia="仿宋" w:cs="Times New Roman"/>
          <w:b/>
          <w:bCs/>
          <w:sz w:val="32"/>
          <w:szCs w:val="20"/>
        </w:rPr>
        <w:t>推进重点行业污染治理。</w:t>
      </w:r>
      <w:r>
        <w:rPr>
          <w:rFonts w:hint="eastAsia" w:ascii="Times New Roman" w:hAnsi="Times New Roman" w:eastAsia="仿宋" w:cs="Times New Roman"/>
          <w:sz w:val="32"/>
          <w:szCs w:val="20"/>
        </w:rPr>
        <w:t>引导</w:t>
      </w:r>
      <w:r>
        <w:rPr>
          <w:rFonts w:ascii="Times New Roman" w:hAnsi="Times New Roman" w:eastAsia="仿宋" w:cs="Times New Roman"/>
          <w:sz w:val="32"/>
          <w:szCs w:val="20"/>
        </w:rPr>
        <w:t>涉VOCs排放的</w:t>
      </w:r>
      <w:r>
        <w:rPr>
          <w:rFonts w:hint="eastAsia" w:ascii="Times New Roman" w:hAnsi="Times New Roman" w:eastAsia="仿宋" w:cs="Times New Roman"/>
          <w:sz w:val="32"/>
          <w:szCs w:val="20"/>
        </w:rPr>
        <w:t>项目集聚发展。持续推进低效失效VOCs治理设施升级改造。加快推进含VOCs原辅材料源头替代，</w:t>
      </w:r>
      <w:r>
        <w:rPr>
          <w:rFonts w:ascii="Times New Roman" w:hAnsi="Times New Roman" w:eastAsia="仿宋" w:cs="Times New Roman"/>
          <w:sz w:val="32"/>
          <w:szCs w:val="20"/>
        </w:rPr>
        <w:t>在市政工程中推广使用低（无）VOCs含量涂料</w:t>
      </w:r>
      <w:r>
        <w:rPr>
          <w:rFonts w:hint="eastAsia" w:ascii="Times New Roman" w:hAnsi="Times New Roman" w:eastAsia="仿宋" w:cs="Times New Roman"/>
          <w:sz w:val="32"/>
          <w:szCs w:val="20"/>
        </w:rPr>
        <w:t>。</w:t>
      </w:r>
      <w:r>
        <w:rPr>
          <w:rFonts w:ascii="Times New Roman" w:hAnsi="Times New Roman" w:eastAsia="仿宋" w:cs="Times New Roman"/>
          <w:sz w:val="32"/>
          <w:szCs w:val="20"/>
        </w:rPr>
        <w:t>加快推进</w:t>
      </w:r>
      <w:r>
        <w:rPr>
          <w:rFonts w:hint="eastAsia" w:ascii="Times New Roman" w:hAnsi="Times New Roman" w:eastAsia="仿宋" w:cs="Times New Roman"/>
          <w:sz w:val="32"/>
          <w:szCs w:val="20"/>
        </w:rPr>
        <w:t>各类</w:t>
      </w:r>
      <w:r>
        <w:rPr>
          <w:rFonts w:ascii="Times New Roman" w:hAnsi="Times New Roman" w:eastAsia="仿宋" w:cs="Times New Roman"/>
          <w:sz w:val="32"/>
          <w:szCs w:val="20"/>
        </w:rPr>
        <w:t>浮顶罐治理，加强对企业泄漏检测与修复（LDAR）工作实施情况的审核评估</w:t>
      </w:r>
      <w:r>
        <w:rPr>
          <w:rFonts w:hint="eastAsia" w:ascii="Times New Roman" w:hAnsi="Times New Roman" w:eastAsia="仿宋" w:cs="Times New Roman"/>
          <w:sz w:val="32"/>
          <w:szCs w:val="20"/>
        </w:rPr>
        <w:t>。</w:t>
      </w:r>
      <w:r>
        <w:rPr>
          <w:rFonts w:ascii="Times New Roman" w:hAnsi="Times New Roman" w:eastAsia="仿宋" w:cs="Times New Roman"/>
          <w:sz w:val="32"/>
          <w:szCs w:val="20"/>
        </w:rPr>
        <w:t>加快推进水泥</w:t>
      </w:r>
      <w:r>
        <w:rPr>
          <w:rFonts w:hint="eastAsia" w:ascii="Times New Roman" w:hAnsi="Times New Roman" w:eastAsia="仿宋" w:cs="Times New Roman"/>
          <w:sz w:val="32"/>
          <w:szCs w:val="20"/>
        </w:rPr>
        <w:t>、</w:t>
      </w:r>
      <w:r>
        <w:rPr>
          <w:rFonts w:ascii="Times New Roman" w:hAnsi="Times New Roman" w:eastAsia="仿宋" w:cs="Times New Roman"/>
          <w:sz w:val="32"/>
          <w:szCs w:val="20"/>
        </w:rPr>
        <w:t>玻璃行业超低排放改造，推进</w:t>
      </w:r>
      <w:r>
        <w:rPr>
          <w:rFonts w:hint="eastAsia" w:ascii="Times New Roman" w:hAnsi="Times New Roman" w:eastAsia="仿宋" w:cs="Times New Roman"/>
          <w:sz w:val="32"/>
          <w:szCs w:val="20"/>
        </w:rPr>
        <w:t>广州市第五资源热力电厂</w:t>
      </w:r>
      <w:r>
        <w:rPr>
          <w:rFonts w:ascii="Times New Roman" w:hAnsi="Times New Roman" w:eastAsia="仿宋" w:cs="Times New Roman"/>
          <w:sz w:val="32"/>
          <w:szCs w:val="20"/>
        </w:rPr>
        <w:t>提标改造</w:t>
      </w:r>
      <w:r>
        <w:rPr>
          <w:rFonts w:hint="eastAsia" w:ascii="Times New Roman" w:hAnsi="Times New Roman" w:eastAsia="仿宋" w:cs="Times New Roman"/>
          <w:sz w:val="32"/>
          <w:szCs w:val="20"/>
        </w:rPr>
        <w:t>。强化燃气锅炉和生物质锅炉达标排放监管。</w:t>
      </w:r>
    </w:p>
    <w:p w14:paraId="0757013B">
      <w:pPr>
        <w:spacing w:line="560" w:lineRule="exact"/>
        <w:ind w:firstLine="643" w:firstLineChars="200"/>
        <w:rPr>
          <w:rFonts w:ascii="Times New Roman" w:hAnsi="Times New Roman" w:eastAsia="仿宋" w:cs="Times New Roman"/>
          <w:sz w:val="32"/>
          <w:szCs w:val="20"/>
          <w:highlight w:val="yellow"/>
        </w:rPr>
      </w:pPr>
      <w:r>
        <w:rPr>
          <w:rFonts w:ascii="Times New Roman" w:hAnsi="Times New Roman" w:eastAsia="仿宋" w:cs="Times New Roman"/>
          <w:b/>
          <w:bCs/>
          <w:sz w:val="32"/>
          <w:szCs w:val="20"/>
        </w:rPr>
        <w:t>深化</w:t>
      </w:r>
      <w:r>
        <w:rPr>
          <w:rFonts w:hint="eastAsia" w:ascii="Times New Roman" w:hAnsi="Times New Roman" w:eastAsia="仿宋" w:cs="Times New Roman"/>
          <w:b/>
          <w:bCs/>
          <w:sz w:val="32"/>
          <w:szCs w:val="20"/>
        </w:rPr>
        <w:t>面源污染</w:t>
      </w:r>
      <w:r>
        <w:rPr>
          <w:rFonts w:ascii="Times New Roman" w:hAnsi="Times New Roman" w:eastAsia="仿宋" w:cs="Times New Roman"/>
          <w:b/>
          <w:bCs/>
          <w:sz w:val="32"/>
          <w:szCs w:val="20"/>
        </w:rPr>
        <w:t>治理。</w:t>
      </w:r>
      <w:r>
        <w:rPr>
          <w:rFonts w:hint="eastAsia" w:ascii="仿宋" w:hAnsi="仿宋" w:eastAsia="仿宋" w:cs="Times New Roman"/>
          <w:sz w:val="32"/>
          <w:szCs w:val="20"/>
        </w:rPr>
        <w:t>推动5000平方米及以上建筑工地安装视频监控设施并接入当地监管平台，强化“三通一平”阶段扬尘控制工作。对建设裸地、废旧厂区、物流园等及时采取绿化、硬化、清扫等措施。</w:t>
      </w:r>
      <w:r>
        <w:rPr>
          <w:rFonts w:hint="eastAsia" w:ascii="Times New Roman" w:hAnsi="Times New Roman" w:eastAsia="仿宋" w:cs="Times New Roman"/>
          <w:sz w:val="32"/>
          <w:szCs w:val="20"/>
        </w:rPr>
        <w:t>推进餐饮服务单位安装高效油烟净化设施，推进中大型餐饮企业安装在线监控并联网。加强餐饮企业选址引导与规范。加大重点区域周边餐饮行业和露天烧烤的巡查力度。围绕餐饮油烟、恶臭异味问题，强化源头化解矛盾纠纷，推动执法力量向重点社区倾斜。严查生活垃圾、秸秆等露天焚烧行为。</w:t>
      </w:r>
    </w:p>
    <w:p w14:paraId="2FD6F147">
      <w:pPr>
        <w:spacing w:line="560" w:lineRule="exact"/>
        <w:ind w:firstLine="643" w:firstLineChars="200"/>
        <w:rPr>
          <w:rFonts w:hint="eastAsia" w:ascii="等线" w:hAnsi="等线" w:eastAsia="等线" w:cs="Times New Roman"/>
        </w:rPr>
      </w:pPr>
      <w:r>
        <w:rPr>
          <w:rFonts w:ascii="Times New Roman" w:hAnsi="Times New Roman" w:eastAsia="仿宋" w:cs="Times New Roman"/>
          <w:b/>
          <w:bCs/>
          <w:sz w:val="32"/>
          <w:szCs w:val="20"/>
        </w:rPr>
        <w:t>推进大气污染治理体系和能力建设</w:t>
      </w:r>
      <w:r>
        <w:rPr>
          <w:rFonts w:hint="eastAsia" w:ascii="Times New Roman" w:hAnsi="Times New Roman" w:eastAsia="仿宋" w:cs="Times New Roman"/>
          <w:b/>
          <w:bCs/>
          <w:sz w:val="32"/>
          <w:szCs w:val="20"/>
        </w:rPr>
        <w:t>。</w:t>
      </w:r>
      <w:r>
        <w:rPr>
          <w:rFonts w:hint="eastAsia" w:ascii="Times New Roman" w:hAnsi="Times New Roman" w:eastAsia="仿宋" w:cs="Times New Roman"/>
          <w:sz w:val="32"/>
          <w:szCs w:val="20"/>
        </w:rPr>
        <w:t>构建空气质量精细化管控体系，组织落实好污染天气应对工作。对大气环境重点排污单位关键排污环节安装视频监控，不断强化远程监管力度。</w:t>
      </w:r>
    </w:p>
    <w:p w14:paraId="4DA37670">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20" w:name="_Toc240879636"/>
      <w:r>
        <w:rPr>
          <w:rFonts w:hint="eastAsia" w:ascii="Times New Roman" w:hAnsi="Times New Roman" w:eastAsia="楷体" w:cs="Times New Roman"/>
          <w:bCs/>
          <w:color w:val="auto"/>
          <w:kern w:val="44"/>
          <w:sz w:val="32"/>
          <w:szCs w:val="44"/>
        </w:rPr>
        <w:t>第二节 建设清洁活力美丽河湖</w:t>
      </w:r>
      <w:bookmarkEnd w:id="20"/>
    </w:p>
    <w:p w14:paraId="1303828D">
      <w:pPr>
        <w:spacing w:line="580" w:lineRule="exact"/>
        <w:ind w:firstLine="643" w:firstLineChars="200"/>
        <w:rPr>
          <w:rFonts w:hint="eastAsia" w:ascii="仿宋" w:hAnsi="仿宋" w:eastAsia="仿宋" w:cs="仿宋_GB2312"/>
          <w:sz w:val="32"/>
          <w:szCs w:val="32"/>
        </w:rPr>
      </w:pPr>
      <w:r>
        <w:rPr>
          <w:rFonts w:hint="eastAsia" w:ascii="仿宋" w:hAnsi="仿宋" w:eastAsia="仿宋" w:cs="Times New Roman"/>
          <w:b/>
          <w:bCs/>
          <w:sz w:val="32"/>
          <w:szCs w:val="32"/>
        </w:rPr>
        <w:t>加强水资源保护与供水安全保障。</w:t>
      </w:r>
      <w:r>
        <w:rPr>
          <w:rFonts w:hint="eastAsia" w:ascii="仿宋" w:hAnsi="仿宋" w:eastAsia="仿宋" w:cs="仿宋_GB2312"/>
          <w:sz w:val="32"/>
          <w:szCs w:val="32"/>
        </w:rPr>
        <w:t>加强用水总量和强度双控，深化工业、生活、农业节水。加强水源地周边环境安全隐患排查及风险评估，实施水库水源地蓝藻及水华防治工程，开展水源地新污染物监测调查与风险评估，进一步协同周边城市加强跨界水源保护。推进老旧供水管网改造，强化供水互联互通，加快推进花都水厂芙蓉嶂水库应急备用连通工程建设，加强备用水源水质保护，提升应急备用能力。</w:t>
      </w:r>
    </w:p>
    <w:p w14:paraId="08B4293A">
      <w:pPr>
        <w:spacing w:line="580" w:lineRule="exact"/>
        <w:ind w:firstLine="643" w:firstLineChars="200"/>
        <w:rPr>
          <w:rFonts w:hint="eastAsia" w:ascii="仿宋" w:hAnsi="仿宋" w:eastAsia="仿宋" w:cs="Times New Roman"/>
          <w:sz w:val="32"/>
          <w:szCs w:val="32"/>
        </w:rPr>
      </w:pPr>
      <w:r>
        <w:rPr>
          <w:rFonts w:hint="eastAsia" w:ascii="仿宋" w:hAnsi="仿宋" w:eastAsia="仿宋" w:cs="Times New Roman"/>
          <w:b/>
          <w:bCs/>
          <w:sz w:val="32"/>
          <w:szCs w:val="32"/>
        </w:rPr>
        <w:t>强化流域污染系统治理。</w:t>
      </w:r>
      <w:r>
        <w:rPr>
          <w:rFonts w:hint="eastAsia" w:ascii="仿宋" w:hAnsi="仿宋" w:eastAsia="仿宋" w:cs="Times New Roman"/>
          <w:sz w:val="32"/>
          <w:szCs w:val="32"/>
        </w:rPr>
        <w:t>深化流域协同治理，强化重点区域一级支流水环境综合整治，巩固黑臭水体治理成效。实施入河排污口排查整治巩固提升行动，有序开展入河排污口规范化建设。压实河湖长制工作责任，加强河湖水域保洁、小微水体治理与管护、河湖岸线整治与保护。</w:t>
      </w:r>
      <w:r>
        <w:rPr>
          <w:rFonts w:ascii="仿宋" w:hAnsi="仿宋" w:eastAsia="仿宋" w:cs="Times New Roman"/>
          <w:bCs/>
          <w:color w:val="000000"/>
          <w:sz w:val="32"/>
          <w:szCs w:val="32"/>
        </w:rPr>
        <w:t>完善与佛山市南海区和三水区、清远市清城区</w:t>
      </w:r>
      <w:r>
        <w:rPr>
          <w:rFonts w:hint="eastAsia" w:ascii="仿宋" w:hAnsi="仿宋" w:eastAsia="仿宋" w:cs="Times New Roman"/>
          <w:bCs/>
          <w:color w:val="000000"/>
          <w:sz w:val="32"/>
          <w:szCs w:val="32"/>
        </w:rPr>
        <w:t>跨界河流联动</w:t>
      </w:r>
      <w:r>
        <w:rPr>
          <w:rFonts w:ascii="仿宋" w:hAnsi="仿宋" w:eastAsia="仿宋" w:cs="Times New Roman"/>
          <w:bCs/>
          <w:color w:val="000000"/>
          <w:sz w:val="32"/>
          <w:szCs w:val="32"/>
        </w:rPr>
        <w:t>治理机制</w:t>
      </w:r>
      <w:r>
        <w:rPr>
          <w:rFonts w:hint="eastAsia" w:ascii="仿宋" w:hAnsi="仿宋" w:eastAsia="仿宋" w:cs="Times New Roman"/>
          <w:bCs/>
          <w:color w:val="000000"/>
          <w:sz w:val="32"/>
          <w:szCs w:val="32"/>
        </w:rPr>
        <w:t>，加强跨界水体保护与污染整治联动。</w:t>
      </w:r>
    </w:p>
    <w:p w14:paraId="029E4CEC">
      <w:pPr>
        <w:spacing w:line="580" w:lineRule="exact"/>
        <w:ind w:firstLine="643" w:firstLineChars="200"/>
        <w:rPr>
          <w:rFonts w:hint="eastAsia" w:ascii="仿宋" w:hAnsi="仿宋" w:eastAsia="仿宋" w:cs="仿宋_GB2312"/>
          <w:sz w:val="32"/>
          <w:szCs w:val="32"/>
        </w:rPr>
      </w:pPr>
      <w:r>
        <w:rPr>
          <w:rFonts w:hint="eastAsia" w:ascii="仿宋" w:hAnsi="仿宋" w:eastAsia="仿宋" w:cs="Times New Roman"/>
          <w:b/>
          <w:bCs/>
          <w:sz w:val="32"/>
          <w:szCs w:val="32"/>
        </w:rPr>
        <w:t>深化工业、生活、农业“三源”治理。</w:t>
      </w:r>
      <w:r>
        <w:rPr>
          <w:rFonts w:hint="eastAsia" w:ascii="仿宋" w:hAnsi="仿宋" w:eastAsia="仿宋" w:cs="Times New Roman"/>
          <w:sz w:val="32"/>
          <w:szCs w:val="32"/>
        </w:rPr>
        <w:t>持续开展“散乱污”场所整治，提升工业污染监管和治理水平，严格控制工业建设项目水主要污染物新增排放量。持续推进</w:t>
      </w:r>
      <w:r>
        <w:rPr>
          <w:rFonts w:hint="eastAsia" w:ascii="仿宋" w:hAnsi="仿宋" w:eastAsia="仿宋" w:cs="Times New Roman"/>
          <w:sz w:val="32"/>
          <w:szCs w:val="32"/>
          <w:lang w:bidi="ar"/>
        </w:rPr>
        <w:t>污水处理提质增效，</w:t>
      </w:r>
      <w:r>
        <w:rPr>
          <w:rFonts w:hint="eastAsia" w:ascii="仿宋" w:hAnsi="仿宋" w:eastAsia="仿宋" w:cs="仿宋_GB2312"/>
          <w:sz w:val="32"/>
          <w:szCs w:val="32"/>
        </w:rPr>
        <w:t>提高污水处理厂污染物进水浓度、运行负荷，加强生活污水管网建设，推进新华（天马河以东）、狮岭系统污水主干管完善工程、雅瑶片区污水提升泵站等重点工程建设，</w:t>
      </w:r>
      <w:r>
        <w:rPr>
          <w:rFonts w:hint="eastAsia" w:ascii="仿宋" w:hAnsi="仿宋" w:eastAsia="仿宋" w:cs="Times New Roman"/>
          <w:bCs/>
          <w:color w:val="000000"/>
          <w:sz w:val="32"/>
          <w:szCs w:val="32"/>
        </w:rPr>
        <w:t>强化管网运行维护</w:t>
      </w:r>
      <w:r>
        <w:rPr>
          <w:rFonts w:hint="eastAsia" w:ascii="仿宋" w:hAnsi="仿宋" w:eastAsia="仿宋" w:cs="Times New Roman"/>
          <w:sz w:val="32"/>
          <w:szCs w:val="32"/>
        </w:rPr>
        <w:t>，</w:t>
      </w:r>
      <w:r>
        <w:rPr>
          <w:rFonts w:hint="eastAsia" w:ascii="仿宋" w:hAnsi="仿宋" w:eastAsia="仿宋" w:cs="仿宋_GB2312"/>
          <w:sz w:val="32"/>
          <w:szCs w:val="32"/>
        </w:rPr>
        <w:t>持续推进排水单元达标创建工作。</w:t>
      </w:r>
      <w:r>
        <w:rPr>
          <w:rFonts w:hint="eastAsia" w:ascii="仿宋" w:hAnsi="仿宋" w:eastAsia="仿宋" w:cs="Times New Roman"/>
          <w:sz w:val="32"/>
          <w:szCs w:val="32"/>
        </w:rPr>
        <w:t>巩固提升畜禽养殖废弃物资源化利用水平，强化水产养殖尾水高效处理，</w:t>
      </w:r>
      <w:r>
        <w:rPr>
          <w:rFonts w:hint="eastAsia" w:ascii="仿宋" w:hAnsi="仿宋" w:eastAsia="仿宋" w:cs="仿宋_GB2312"/>
          <w:sz w:val="32"/>
          <w:szCs w:val="32"/>
        </w:rPr>
        <w:t>推进</w:t>
      </w:r>
      <w:r>
        <w:rPr>
          <w:rFonts w:hint="eastAsia" w:ascii="仿宋" w:hAnsi="仿宋" w:eastAsia="仿宋" w:cs="Times New Roman"/>
          <w:sz w:val="32"/>
          <w:szCs w:val="32"/>
        </w:rPr>
        <w:t>农药化肥控量增效。</w:t>
      </w:r>
    </w:p>
    <w:p w14:paraId="3E3D44E1">
      <w:pPr>
        <w:spacing w:line="580" w:lineRule="exact"/>
        <w:ind w:firstLine="643" w:firstLineChars="200"/>
        <w:rPr>
          <w:rFonts w:hint="eastAsia" w:ascii="仿宋" w:hAnsi="仿宋" w:eastAsia="仿宋" w:cs="仿宋_GB2312"/>
          <w:b/>
          <w:bCs/>
          <w:sz w:val="32"/>
          <w:szCs w:val="32"/>
        </w:rPr>
      </w:pPr>
      <w:r>
        <w:rPr>
          <w:rFonts w:hint="eastAsia" w:ascii="仿宋" w:hAnsi="仿宋" w:eastAsia="仿宋" w:cs="Times New Roman"/>
          <w:b/>
          <w:bCs/>
          <w:sz w:val="32"/>
          <w:szCs w:val="32"/>
        </w:rPr>
        <w:t>强化水生态保护修复。</w:t>
      </w:r>
      <w:r>
        <w:rPr>
          <w:rFonts w:hint="eastAsia" w:ascii="仿宋" w:hAnsi="仿宋" w:eastAsia="仿宋" w:cs="Times New Roman"/>
          <w:sz w:val="32"/>
          <w:szCs w:val="32"/>
          <w:lang w:bidi="ar"/>
        </w:rPr>
        <w:t>加强河涌生态整治，推进河岸生态缓冲带建设及修复，逐步恢复河涌生态系统。</w:t>
      </w:r>
      <w:r>
        <w:rPr>
          <w:rFonts w:hint="eastAsia" w:ascii="仿宋" w:hAnsi="仿宋" w:eastAsia="仿宋" w:cs="Times New Roman"/>
          <w:sz w:val="32"/>
          <w:szCs w:val="32"/>
        </w:rPr>
        <w:t>因地制宜实施江河湖库水系连通工程，恢复河涌、坑塘、河湖等水体自然连通</w:t>
      </w:r>
      <w:r>
        <w:rPr>
          <w:rFonts w:hint="eastAsia" w:ascii="仿宋" w:hAnsi="仿宋" w:eastAsia="仿宋" w:cs="仿宋_GB2312"/>
          <w:sz w:val="32"/>
          <w:szCs w:val="32"/>
        </w:rPr>
        <w:t>，加强再生水生态补水，保障河湖生</w:t>
      </w:r>
      <w:r>
        <w:rPr>
          <w:rFonts w:hint="eastAsia" w:ascii="仿宋" w:hAnsi="仿宋" w:eastAsia="仿宋" w:cs="仿宋_GB2312"/>
          <w:bCs/>
          <w:color w:val="000000"/>
          <w:sz w:val="32"/>
          <w:szCs w:val="32"/>
        </w:rPr>
        <w:t>态需水。</w:t>
      </w:r>
      <w:r>
        <w:rPr>
          <w:rFonts w:hint="eastAsia" w:ascii="仿宋" w:hAnsi="仿宋" w:eastAsia="仿宋" w:cs="仿宋_GB2312"/>
          <w:color w:val="000000"/>
          <w:kern w:val="0"/>
          <w:sz w:val="32"/>
          <w:szCs w:val="32"/>
          <w:lang w:bidi="ar"/>
        </w:rPr>
        <w:t>实施增殖放流工程，</w:t>
      </w:r>
      <w:r>
        <w:rPr>
          <w:rFonts w:hint="eastAsia" w:ascii="仿宋" w:hAnsi="仿宋" w:eastAsia="仿宋" w:cs="仿宋_GB2312"/>
          <w:bCs/>
          <w:color w:val="000000"/>
          <w:sz w:val="32"/>
          <w:szCs w:val="32"/>
        </w:rPr>
        <w:t>恢复保护鱼类洄游通道，进一步丰富水生生物资源。</w:t>
      </w:r>
    </w:p>
    <w:p w14:paraId="4F883B76">
      <w:pPr>
        <w:spacing w:line="580" w:lineRule="exact"/>
        <w:ind w:firstLine="643" w:firstLineChars="200"/>
        <w:rPr>
          <w:rFonts w:hint="eastAsia" w:ascii="仿宋" w:hAnsi="仿宋" w:eastAsia="仿宋" w:cs="Times New Roman"/>
          <w:sz w:val="32"/>
          <w:szCs w:val="32"/>
        </w:rPr>
      </w:pPr>
      <w:r>
        <w:rPr>
          <w:rFonts w:hint="eastAsia" w:ascii="仿宋" w:hAnsi="仿宋" w:eastAsia="仿宋" w:cs="仿宋_GB2312"/>
          <w:b/>
          <w:bCs/>
          <w:sz w:val="32"/>
          <w:szCs w:val="32"/>
        </w:rPr>
        <w:t>筑造美丽河湖新格局。</w:t>
      </w:r>
      <w:r>
        <w:rPr>
          <w:rFonts w:ascii="仿宋" w:hAnsi="仿宋" w:eastAsia="仿宋" w:cs="Times New Roman"/>
          <w:sz w:val="32"/>
          <w:szCs w:val="32"/>
        </w:rPr>
        <w:t>深入挖掘河湖生态价值</w:t>
      </w:r>
      <w:r>
        <w:rPr>
          <w:rFonts w:hint="eastAsia" w:ascii="仿宋" w:hAnsi="仿宋" w:eastAsia="仿宋" w:cs="Times New Roman"/>
          <w:sz w:val="32"/>
          <w:szCs w:val="32"/>
        </w:rPr>
        <w:t>、文化资源</w:t>
      </w:r>
      <w:r>
        <w:rPr>
          <w:rFonts w:ascii="仿宋" w:hAnsi="仿宋" w:eastAsia="仿宋" w:cs="Times New Roman"/>
          <w:sz w:val="32"/>
          <w:szCs w:val="32"/>
        </w:rPr>
        <w:t>，</w:t>
      </w:r>
      <w:r>
        <w:rPr>
          <w:rFonts w:hint="eastAsia" w:ascii="仿宋" w:hAnsi="仿宋" w:eastAsia="仿宋" w:cs="仿宋_GB2312"/>
          <w:sz w:val="32"/>
          <w:szCs w:val="20"/>
        </w:rPr>
        <w:t>塑造提升</w:t>
      </w:r>
      <w:r>
        <w:rPr>
          <w:rFonts w:hint="eastAsia" w:ascii="仿宋" w:hAnsi="仿宋" w:eastAsia="仿宋" w:cs="Times New Roman"/>
          <w:sz w:val="32"/>
          <w:szCs w:val="32"/>
        </w:rPr>
        <w:t>花都湖、九湾潭水库、秀全湖等美丽河湖</w:t>
      </w:r>
      <w:r>
        <w:rPr>
          <w:rFonts w:hint="eastAsia" w:ascii="仿宋" w:hAnsi="仿宋" w:eastAsia="仿宋" w:cs="仿宋_GB2312"/>
          <w:sz w:val="32"/>
          <w:szCs w:val="20"/>
        </w:rPr>
        <w:t>品牌</w:t>
      </w:r>
      <w:r>
        <w:rPr>
          <w:rFonts w:hint="eastAsia" w:ascii="仿宋" w:hAnsi="仿宋" w:eastAsia="仿宋" w:cs="Times New Roman"/>
          <w:sz w:val="32"/>
          <w:szCs w:val="32"/>
        </w:rPr>
        <w:t>，积极推动秀全水库（秀全湖）建成广东省美丽河湖</w:t>
      </w:r>
      <w:r>
        <w:rPr>
          <w:rFonts w:hint="eastAsia" w:ascii="仿宋" w:hAnsi="仿宋" w:eastAsia="仿宋" w:cs="仿宋_GB2312"/>
          <w:sz w:val="32"/>
          <w:szCs w:val="20"/>
        </w:rPr>
        <w:t>。</w:t>
      </w:r>
      <w:r>
        <w:rPr>
          <w:rFonts w:hint="eastAsia" w:ascii="仿宋" w:hAnsi="仿宋" w:eastAsia="仿宋" w:cs="仿宋_GB2312"/>
          <w:sz w:val="32"/>
          <w:szCs w:val="32"/>
        </w:rPr>
        <w:t>实施河湖健康评价，推动重点河湖生态调查评估与考核评价。高质量推动碧道建设</w:t>
      </w:r>
      <w:r>
        <w:rPr>
          <w:rFonts w:hint="eastAsia" w:ascii="仿宋" w:hAnsi="仿宋" w:eastAsia="仿宋" w:cs="仿宋_GB2312"/>
          <w:bCs/>
          <w:color w:val="000000"/>
          <w:sz w:val="32"/>
          <w:szCs w:val="32"/>
        </w:rPr>
        <w:t>，</w:t>
      </w:r>
      <w:r>
        <w:rPr>
          <w:rFonts w:hint="eastAsia" w:ascii="仿宋" w:hAnsi="仿宋" w:eastAsia="仿宋" w:cs="仿宋_GB2312"/>
          <w:color w:val="000000"/>
          <w:sz w:val="32"/>
          <w:szCs w:val="32"/>
        </w:rPr>
        <w:t>优化提升特色滨水公共空间，塑造城市魅力蓝脉。</w:t>
      </w:r>
      <w:r>
        <w:rPr>
          <w:rFonts w:hint="eastAsia" w:ascii="仿宋" w:hAnsi="仿宋" w:eastAsia="仿宋" w:cs="Times New Roman"/>
          <w:sz w:val="32"/>
          <w:szCs w:val="32"/>
        </w:rPr>
        <w:t>推动水经济、水文化融合发展，打造绿色水经济新业态。</w:t>
      </w:r>
    </w:p>
    <w:p w14:paraId="6E0E14A4">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21" w:name="_Toc240879637"/>
      <w:r>
        <w:rPr>
          <w:rFonts w:hint="eastAsia" w:ascii="Times New Roman" w:hAnsi="Times New Roman" w:eastAsia="楷体" w:cs="Times New Roman"/>
          <w:bCs/>
          <w:color w:val="auto"/>
          <w:kern w:val="44"/>
          <w:sz w:val="32"/>
          <w:szCs w:val="44"/>
        </w:rPr>
        <w:t xml:space="preserve">第三节 </w:t>
      </w:r>
      <w:r>
        <w:rPr>
          <w:rFonts w:ascii="Times New Roman" w:hAnsi="Times New Roman" w:eastAsia="楷体" w:cs="Times New Roman"/>
          <w:bCs/>
          <w:color w:val="auto"/>
          <w:kern w:val="44"/>
          <w:sz w:val="32"/>
          <w:szCs w:val="44"/>
        </w:rPr>
        <w:t>协同推进土壤与地下水保护</w:t>
      </w:r>
      <w:bookmarkEnd w:id="21"/>
    </w:p>
    <w:p w14:paraId="036ACE0D">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20"/>
        </w:rPr>
        <w:t>加强土壤污染源头防控。</w:t>
      </w:r>
      <w:r>
        <w:rPr>
          <w:rFonts w:hint="eastAsia" w:ascii="Times New Roman" w:hAnsi="Times New Roman" w:eastAsia="仿宋" w:cs="Times New Roman"/>
          <w:sz w:val="32"/>
          <w:szCs w:val="20"/>
        </w:rPr>
        <w:t>加强涉重金属行业污染物排放监督管理，深入推进涉镉、涉铊等重金属重点行业企业排查整治。强化对重点监管单位的监管，督促重点监管单位开展土壤和地下水环境自行监测、污染隐患排查。加强土壤污染重点监管单位周边土壤、地下水的监督性监测。加强农业投入品规范化管理，深入开展农药化肥减量增效。</w:t>
      </w:r>
    </w:p>
    <w:p w14:paraId="474989F1">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20"/>
        </w:rPr>
        <w:t>深化农用地土壤安全利用。</w:t>
      </w:r>
      <w:r>
        <w:rPr>
          <w:rFonts w:hint="eastAsia" w:ascii="Times New Roman" w:hAnsi="Times New Roman" w:eastAsia="仿宋" w:cs="Times New Roman"/>
          <w:sz w:val="32"/>
          <w:szCs w:val="32"/>
        </w:rPr>
        <w:t>持续实施耕地质量保护与提升行动，强化受污染耕地安全利用和严格管控</w:t>
      </w:r>
      <w:r>
        <w:rPr>
          <w:rFonts w:hint="eastAsia" w:ascii="Times New Roman" w:hAnsi="Times New Roman" w:eastAsia="仿宋" w:cs="Times New Roman"/>
          <w:sz w:val="32"/>
          <w:szCs w:val="20"/>
        </w:rPr>
        <w:t>。有序</w:t>
      </w:r>
      <w:r>
        <w:rPr>
          <w:rFonts w:hint="eastAsia" w:ascii="仿宋" w:hAnsi="仿宋" w:eastAsia="仿宋" w:cs="Times New Roman"/>
          <w:sz w:val="32"/>
          <w:szCs w:val="32"/>
        </w:rPr>
        <w:t>推进</w:t>
      </w:r>
      <w:r>
        <w:rPr>
          <w:rFonts w:ascii="Times New Roman" w:hAnsi="Times New Roman" w:eastAsia="仿宋" w:cs="Times New Roman"/>
          <w:sz w:val="32"/>
          <w:szCs w:val="32"/>
        </w:rPr>
        <w:t>受污染耕地溯源整治，</w:t>
      </w:r>
      <w:r>
        <w:rPr>
          <w:rFonts w:hint="eastAsia" w:ascii="Times New Roman" w:hAnsi="Times New Roman" w:eastAsia="仿宋" w:cs="Times New Roman"/>
          <w:sz w:val="32"/>
          <w:szCs w:val="32"/>
        </w:rPr>
        <w:t>严格实施农用地分类管理。针对严格管控类耕地，结合当地区域农产品产业优势，推进种植结构向重金属低累积或非食用农产品调整。</w:t>
      </w:r>
    </w:p>
    <w:p w14:paraId="7ACF2C64">
      <w:pPr>
        <w:spacing w:line="560" w:lineRule="exact"/>
        <w:ind w:firstLine="643" w:firstLineChars="200"/>
        <w:rPr>
          <w:rFonts w:hint="eastAsia" w:ascii="仿宋" w:hAnsi="仿宋" w:eastAsia="仿宋" w:cs="Times New Roman"/>
          <w:sz w:val="32"/>
          <w:szCs w:val="32"/>
        </w:rPr>
      </w:pPr>
      <w:r>
        <w:rPr>
          <w:rFonts w:hint="eastAsia" w:ascii="Times New Roman" w:hAnsi="Times New Roman" w:eastAsia="仿宋" w:cs="Times New Roman"/>
          <w:b/>
          <w:bCs/>
          <w:sz w:val="32"/>
          <w:szCs w:val="20"/>
        </w:rPr>
        <w:t>强化建设用地土壤管理。</w:t>
      </w:r>
      <w:r>
        <w:rPr>
          <w:rFonts w:hint="eastAsia" w:ascii="仿宋" w:hAnsi="仿宋" w:eastAsia="仿宋" w:cs="Times New Roman"/>
          <w:sz w:val="32"/>
          <w:szCs w:val="20"/>
        </w:rPr>
        <w:t>常态化开展</w:t>
      </w:r>
      <w:r>
        <w:rPr>
          <w:rFonts w:hint="eastAsia" w:ascii="仿宋" w:hAnsi="仿宋" w:eastAsia="仿宋" w:cs="Times New Roman"/>
          <w:sz w:val="32"/>
          <w:szCs w:val="32"/>
        </w:rPr>
        <w:t>建设用地土壤污染状况调查，严格建设用地准入管理，强化</w:t>
      </w:r>
      <w:r>
        <w:rPr>
          <w:rFonts w:hint="eastAsia" w:ascii="仿宋" w:hAnsi="仿宋" w:eastAsia="仿宋" w:cs="仿宋_GB2312"/>
          <w:sz w:val="32"/>
          <w:szCs w:val="32"/>
          <w:lang w:bidi="ar"/>
        </w:rPr>
        <w:t>建设用地土壤环境管理联动监管</w:t>
      </w:r>
      <w:r>
        <w:rPr>
          <w:rFonts w:hint="eastAsia" w:ascii="仿宋" w:hAnsi="仿宋" w:eastAsia="仿宋" w:cs="Times New Roman"/>
          <w:sz w:val="32"/>
          <w:szCs w:val="32"/>
        </w:rPr>
        <w:t>。推进关闭搬迁企业污染地块土壤调查评估与治理修复。</w:t>
      </w:r>
    </w:p>
    <w:p w14:paraId="2AEE409A">
      <w:pPr>
        <w:spacing w:line="560" w:lineRule="exact"/>
        <w:ind w:firstLine="643" w:firstLineChars="200"/>
        <w:rPr>
          <w:rFonts w:ascii="Times New Roman" w:hAnsi="Times New Roman" w:eastAsia="仿宋" w:cs="Times New Roman"/>
          <w:sz w:val="32"/>
          <w:szCs w:val="20"/>
        </w:rPr>
      </w:pPr>
      <w:r>
        <w:rPr>
          <w:rFonts w:hint="eastAsia" w:ascii="Times New Roman" w:hAnsi="Times New Roman" w:eastAsia="仿宋" w:cs="Times New Roman"/>
          <w:b/>
          <w:bCs/>
          <w:sz w:val="32"/>
          <w:szCs w:val="20"/>
        </w:rPr>
        <w:t>推进地下水污染协同防控。</w:t>
      </w:r>
      <w:r>
        <w:rPr>
          <w:rFonts w:hint="eastAsia" w:ascii="Times New Roman" w:hAnsi="Times New Roman" w:eastAsia="仿宋" w:cs="Times New Roman"/>
          <w:sz w:val="32"/>
          <w:szCs w:val="20"/>
        </w:rPr>
        <w:t>加强地下水污染防治重点排污单位管理，</w:t>
      </w:r>
      <w:r>
        <w:rPr>
          <w:rFonts w:ascii="Times New Roman" w:hAnsi="Times New Roman" w:eastAsia="仿宋" w:cs="Times New Roman"/>
          <w:sz w:val="32"/>
          <w:szCs w:val="20"/>
        </w:rPr>
        <w:t>持续推进化工企业、加油站、垃圾填埋场和危险废物处置场等区域及周边地下水基础环境状况调查</w:t>
      </w:r>
      <w:r>
        <w:rPr>
          <w:rFonts w:hint="eastAsia" w:ascii="Times New Roman" w:hAnsi="Times New Roman" w:eastAsia="仿宋" w:cs="Times New Roman"/>
          <w:sz w:val="32"/>
          <w:szCs w:val="20"/>
        </w:rPr>
        <w:t>，</w:t>
      </w:r>
      <w:r>
        <w:rPr>
          <w:rFonts w:ascii="Times New Roman" w:hAnsi="Times New Roman" w:eastAsia="仿宋" w:cs="Times New Roman"/>
          <w:sz w:val="32"/>
          <w:szCs w:val="20"/>
        </w:rPr>
        <w:t>积极开展</w:t>
      </w:r>
      <w:r>
        <w:rPr>
          <w:rFonts w:hint="eastAsia" w:ascii="Times New Roman" w:hAnsi="Times New Roman" w:eastAsia="仿宋" w:cs="Times New Roman"/>
          <w:sz w:val="32"/>
          <w:szCs w:val="20"/>
        </w:rPr>
        <w:t>风险源</w:t>
      </w:r>
      <w:r>
        <w:rPr>
          <w:rFonts w:ascii="Times New Roman" w:hAnsi="Times New Roman" w:eastAsia="仿宋" w:cs="Times New Roman"/>
          <w:sz w:val="32"/>
          <w:szCs w:val="20"/>
        </w:rPr>
        <w:t>防渗排查与改造工作。</w:t>
      </w:r>
    </w:p>
    <w:p w14:paraId="2D3AD48F">
      <w:pPr>
        <w:pStyle w:val="3"/>
        <w:keepNext w:val="0"/>
        <w:keepLines w:val="0"/>
        <w:widowControl/>
        <w:tabs>
          <w:tab w:val="left" w:pos="0"/>
        </w:tabs>
        <w:spacing w:before="312" w:beforeLines="100" w:after="312" w:afterLines="100" w:line="579" w:lineRule="exact"/>
        <w:ind w:left="420" w:leftChars="200" w:firstLine="198"/>
        <w:jc w:val="center"/>
        <w:rPr>
          <w:rFonts w:ascii="Times New Roman" w:hAnsi="Times New Roman" w:eastAsia="楷体" w:cs="Times New Roman"/>
          <w:bCs/>
          <w:color w:val="auto"/>
          <w:kern w:val="44"/>
          <w:sz w:val="32"/>
          <w:szCs w:val="44"/>
        </w:rPr>
      </w:pPr>
      <w:bookmarkStart w:id="22" w:name="_Toc240879638"/>
      <w:r>
        <w:rPr>
          <w:rFonts w:hint="eastAsia" w:ascii="Times New Roman" w:hAnsi="Times New Roman" w:eastAsia="楷体" w:cs="Times New Roman"/>
          <w:bCs/>
          <w:color w:val="auto"/>
          <w:kern w:val="44"/>
          <w:sz w:val="32"/>
          <w:szCs w:val="44"/>
        </w:rPr>
        <w:t>第四节 深入推进固体废物和新污染物治理</w:t>
      </w:r>
      <w:bookmarkEnd w:id="22"/>
    </w:p>
    <w:p w14:paraId="47635BF5">
      <w:pPr>
        <w:spacing w:line="560" w:lineRule="exact"/>
        <w:ind w:firstLine="643" w:firstLineChars="200"/>
        <w:rPr>
          <w:rFonts w:hint="eastAsia" w:ascii="仿宋" w:hAnsi="仿宋" w:eastAsia="仿宋" w:cs="Times New Roman"/>
          <w:b/>
          <w:color w:val="000000"/>
          <w:sz w:val="32"/>
          <w:szCs w:val="32"/>
        </w:rPr>
      </w:pPr>
      <w:r>
        <w:rPr>
          <w:rFonts w:hint="eastAsia" w:ascii="仿宋" w:hAnsi="仿宋" w:eastAsia="仿宋" w:cs="Times New Roman"/>
          <w:b/>
          <w:bCs/>
          <w:color w:val="000000"/>
          <w:sz w:val="32"/>
          <w:szCs w:val="32"/>
        </w:rPr>
        <w:t>推动固体废物源头减量。</w:t>
      </w:r>
      <w:r>
        <w:rPr>
          <w:rFonts w:hint="eastAsia" w:ascii="仿宋" w:hAnsi="仿宋" w:eastAsia="仿宋" w:cs="Times New Roman"/>
          <w:color w:val="000000"/>
          <w:sz w:val="32"/>
          <w:szCs w:val="32"/>
        </w:rPr>
        <w:t>强化工业生产精细化管控，降低固体废物产生强度。稳步发展装配式建筑，强化建筑工地固体废物源头管控。广泛倡导绿色生活方式，加快推进快递包装绿色转型，加强商品过度包装治理。鼓励就地就近处理园林垃圾。</w:t>
      </w:r>
    </w:p>
    <w:p w14:paraId="49CB9F3E">
      <w:pPr>
        <w:spacing w:line="560" w:lineRule="exact"/>
        <w:ind w:firstLine="643" w:firstLineChars="200"/>
        <w:rPr>
          <w:rFonts w:hint="eastAsia" w:ascii="仿宋" w:hAnsi="仿宋" w:eastAsia="仿宋" w:cs="Times New Roman"/>
          <w:color w:val="000000"/>
          <w:sz w:val="32"/>
          <w:szCs w:val="32"/>
        </w:rPr>
      </w:pPr>
      <w:r>
        <w:rPr>
          <w:rFonts w:hint="eastAsia" w:ascii="仿宋" w:hAnsi="仿宋" w:eastAsia="仿宋" w:cs="Times New Roman"/>
          <w:b/>
          <w:color w:val="000000"/>
          <w:sz w:val="32"/>
          <w:szCs w:val="32"/>
        </w:rPr>
        <w:t>强化固体废物全过程监管。</w:t>
      </w:r>
      <w:r>
        <w:rPr>
          <w:rFonts w:hint="eastAsia" w:ascii="仿宋" w:hAnsi="仿宋" w:eastAsia="仿宋" w:cs="Times New Roman"/>
          <w:color w:val="000000"/>
          <w:sz w:val="32"/>
          <w:szCs w:val="32"/>
        </w:rPr>
        <w:t>提升危险废物规范化信息化管理水平，推行危险废物</w:t>
      </w:r>
      <w:r>
        <w:rPr>
          <w:rFonts w:ascii="仿宋" w:hAnsi="仿宋" w:eastAsia="仿宋" w:cs="Times New Roman"/>
          <w:color w:val="000000"/>
          <w:sz w:val="32"/>
          <w:szCs w:val="32"/>
        </w:rPr>
        <w:t>“</w:t>
      </w:r>
      <w:r>
        <w:rPr>
          <w:rFonts w:hint="eastAsia" w:ascii="仿宋" w:hAnsi="仿宋" w:eastAsia="仿宋" w:cs="Times New Roman"/>
          <w:color w:val="000000"/>
          <w:sz w:val="32"/>
          <w:szCs w:val="32"/>
        </w:rPr>
        <w:t>五即</w:t>
      </w:r>
      <w:r>
        <w:rPr>
          <w:rFonts w:ascii="仿宋" w:hAnsi="仿宋" w:eastAsia="仿宋" w:cs="Times New Roman"/>
          <w:color w:val="000000"/>
          <w:sz w:val="32"/>
          <w:szCs w:val="32"/>
        </w:rPr>
        <w:t>”</w:t>
      </w:r>
      <w:r>
        <w:rPr>
          <w:rFonts w:hint="eastAsia" w:ascii="仿宋" w:hAnsi="仿宋" w:eastAsia="仿宋" w:cs="Times New Roman"/>
          <w:color w:val="000000"/>
          <w:sz w:val="32"/>
          <w:szCs w:val="32"/>
        </w:rPr>
        <w:t>规范化建设、</w:t>
      </w:r>
      <w:r>
        <w:rPr>
          <w:rFonts w:ascii="仿宋" w:hAnsi="仿宋" w:eastAsia="仿宋" w:cs="Times New Roman"/>
          <w:color w:val="000000"/>
          <w:sz w:val="32"/>
          <w:szCs w:val="32"/>
        </w:rPr>
        <w:t>“</w:t>
      </w:r>
      <w:r>
        <w:rPr>
          <w:rFonts w:hint="eastAsia" w:ascii="仿宋" w:hAnsi="仿宋" w:eastAsia="仿宋" w:cs="Times New Roman"/>
          <w:color w:val="000000"/>
          <w:sz w:val="32"/>
          <w:szCs w:val="32"/>
        </w:rPr>
        <w:t>一码贯通</w:t>
      </w:r>
      <w:r>
        <w:rPr>
          <w:rFonts w:ascii="仿宋" w:hAnsi="仿宋" w:eastAsia="仿宋" w:cs="Times New Roman"/>
          <w:color w:val="000000"/>
          <w:sz w:val="32"/>
          <w:szCs w:val="32"/>
        </w:rPr>
        <w:t>”</w:t>
      </w:r>
      <w:r>
        <w:rPr>
          <w:rFonts w:hint="eastAsia" w:ascii="仿宋" w:hAnsi="仿宋" w:eastAsia="仿宋" w:cs="Times New Roman"/>
          <w:color w:val="000000"/>
          <w:sz w:val="32"/>
          <w:szCs w:val="32"/>
        </w:rPr>
        <w:t>全过程信息化环境管理。深化小微企业危险废物收集试点工作。推进医疗废物智能收集网络建设，完善医疗废物收集转运体系。</w:t>
      </w:r>
      <w:r>
        <w:rPr>
          <w:rFonts w:hint="eastAsia" w:ascii="仿宋" w:hAnsi="仿宋" w:eastAsia="仿宋" w:cs="Times New Roman"/>
          <w:bCs/>
          <w:color w:val="000000"/>
          <w:sz w:val="32"/>
          <w:szCs w:val="32"/>
        </w:rPr>
        <w:t>推进花都区生活垃圾卫生填埋场环境隐患排查整治，重点加强狮岭镇等皮革皮具产业集聚区工业固废巡查监管。持续优化生活垃圾分类投放、收集、运输、处理体系。深入排查建筑垃圾产生、收集、贮存、运输、利用、处置等各环节违法违规问题。</w:t>
      </w:r>
    </w:p>
    <w:p w14:paraId="23A8F42D">
      <w:pPr>
        <w:spacing w:line="560" w:lineRule="exact"/>
        <w:ind w:firstLine="643" w:firstLineChars="200"/>
        <w:rPr>
          <w:rFonts w:hint="eastAsia" w:ascii="仿宋" w:hAnsi="仿宋" w:eastAsia="仿宋" w:cs="Times New Roman"/>
          <w:strike/>
          <w:color w:val="000000"/>
          <w:sz w:val="32"/>
          <w:szCs w:val="32"/>
        </w:rPr>
      </w:pPr>
      <w:r>
        <w:rPr>
          <w:rFonts w:hint="eastAsia" w:ascii="仿宋" w:hAnsi="仿宋" w:eastAsia="仿宋" w:cs="Times New Roman"/>
          <w:b/>
          <w:bCs/>
          <w:color w:val="000000"/>
          <w:sz w:val="32"/>
          <w:szCs w:val="32"/>
        </w:rPr>
        <w:t>提升固体废物资源化利用水平</w:t>
      </w:r>
      <w:r>
        <w:rPr>
          <w:rFonts w:hint="eastAsia" w:ascii="仿宋" w:hAnsi="仿宋" w:eastAsia="仿宋" w:cs="Times New Roman"/>
          <w:color w:val="000000"/>
          <w:sz w:val="32"/>
          <w:szCs w:val="32"/>
        </w:rPr>
        <w:t>。有序建设废旧物资分拣中心，强化废皮革、废织物的再生资源回收利用。培育典型固体废物循环利用产业链，高标准建设花都循环经济产业园。推动建设废旧锂电池规范化回收网点，加快推进退役动力电池梯次利用、再生利用项目落地。巩固提升农村</w:t>
      </w:r>
      <w:r>
        <w:rPr>
          <w:rFonts w:ascii="仿宋" w:hAnsi="仿宋" w:eastAsia="仿宋" w:cs="Times New Roman"/>
          <w:color w:val="000000"/>
          <w:sz w:val="32"/>
          <w:szCs w:val="32"/>
        </w:rPr>
        <w:t>“</w:t>
      </w:r>
      <w:r>
        <w:rPr>
          <w:rFonts w:hint="eastAsia" w:ascii="仿宋" w:hAnsi="仿宋" w:eastAsia="仿宋" w:cs="Times New Roman"/>
          <w:color w:val="000000"/>
          <w:sz w:val="32"/>
          <w:szCs w:val="32"/>
        </w:rPr>
        <w:t>厨余垃圾不出村</w:t>
      </w:r>
      <w:r>
        <w:rPr>
          <w:rFonts w:ascii="仿宋" w:hAnsi="仿宋" w:eastAsia="仿宋" w:cs="Times New Roman"/>
          <w:color w:val="000000"/>
          <w:sz w:val="32"/>
          <w:szCs w:val="32"/>
        </w:rPr>
        <w:t>”</w:t>
      </w:r>
      <w:r>
        <w:rPr>
          <w:rFonts w:hint="eastAsia" w:ascii="仿宋" w:hAnsi="仿宋" w:eastAsia="仿宋" w:cs="Times New Roman"/>
          <w:color w:val="000000"/>
          <w:sz w:val="32"/>
          <w:szCs w:val="32"/>
        </w:rPr>
        <w:t>就地资源化模式，构建城乡差异化的厨余垃圾处理体系。推进餐饮废弃油脂资源化利用，拓展生物航煤、化工原料等高值化利用方向。统筹建筑废弃物跨区运输及协同利用，加快推进建筑废弃物资源化利用项目建设。</w:t>
      </w:r>
    </w:p>
    <w:p w14:paraId="23AC3658">
      <w:pPr>
        <w:spacing w:line="560" w:lineRule="exact"/>
        <w:ind w:firstLine="643" w:firstLineChars="200"/>
        <w:rPr>
          <w:rFonts w:hint="eastAsia" w:ascii="仿宋" w:hAnsi="仿宋" w:eastAsia="仿宋" w:cs="Times New Roman"/>
          <w:color w:val="000000"/>
          <w:sz w:val="32"/>
          <w:szCs w:val="32"/>
        </w:rPr>
      </w:pPr>
      <w:r>
        <w:rPr>
          <w:rFonts w:hint="eastAsia" w:ascii="仿宋" w:hAnsi="仿宋" w:eastAsia="仿宋" w:cs="Times New Roman"/>
          <w:b/>
          <w:color w:val="000000"/>
          <w:sz w:val="32"/>
          <w:szCs w:val="32"/>
        </w:rPr>
        <w:t>强化全链条无害化管理。</w:t>
      </w:r>
      <w:r>
        <w:rPr>
          <w:rFonts w:hint="eastAsia" w:ascii="仿宋" w:hAnsi="仿宋" w:eastAsia="仿宋" w:cs="Times New Roman"/>
          <w:bCs/>
          <w:color w:val="000000"/>
          <w:sz w:val="32"/>
          <w:szCs w:val="32"/>
        </w:rPr>
        <w:t>优化危险废物利用处置设施能力结构，</w:t>
      </w:r>
      <w:r>
        <w:rPr>
          <w:rFonts w:hint="eastAsia" w:ascii="仿宋" w:hAnsi="仿宋" w:eastAsia="仿宋" w:cs="Times New Roman"/>
          <w:color w:val="000000"/>
          <w:sz w:val="32"/>
          <w:szCs w:val="32"/>
        </w:rPr>
        <w:t>严格管控危险废物填埋处置。推进生活垃圾焚烧飞灰资源化利用设施建设。到</w:t>
      </w:r>
      <w:r>
        <w:rPr>
          <w:rFonts w:ascii="仿宋" w:hAnsi="仿宋" w:eastAsia="仿宋" w:cs="Times New Roman"/>
          <w:color w:val="000000"/>
          <w:sz w:val="32"/>
          <w:szCs w:val="32"/>
        </w:rPr>
        <w:t>2030</w:t>
      </w:r>
      <w:r>
        <w:rPr>
          <w:rFonts w:hint="eastAsia" w:ascii="仿宋" w:hAnsi="仿宋" w:eastAsia="仿宋" w:cs="Times New Roman"/>
          <w:color w:val="000000"/>
          <w:sz w:val="32"/>
          <w:szCs w:val="32"/>
        </w:rPr>
        <w:t>年，危险废物填埋处置量占比控制在</w:t>
      </w:r>
      <w:r>
        <w:rPr>
          <w:rFonts w:ascii="仿宋" w:hAnsi="仿宋" w:eastAsia="仿宋" w:cs="Times New Roman"/>
          <w:color w:val="000000"/>
          <w:sz w:val="32"/>
          <w:szCs w:val="32"/>
        </w:rPr>
        <w:t>10%</w:t>
      </w:r>
      <w:r>
        <w:rPr>
          <w:rFonts w:hint="eastAsia" w:ascii="仿宋" w:hAnsi="仿宋" w:eastAsia="仿宋" w:cs="Times New Roman"/>
          <w:color w:val="000000"/>
          <w:sz w:val="32"/>
          <w:szCs w:val="32"/>
        </w:rPr>
        <w:t>以内。强化建筑废弃物处置联管联控，合理建设建筑废弃物消纳场。进一步完善秸秆收储运体系、农药包装废弃物回收体系、农膜回收体系。全链条治理塑料污染。</w:t>
      </w:r>
    </w:p>
    <w:p w14:paraId="2EF38CC0">
      <w:pPr>
        <w:spacing w:line="560" w:lineRule="exact"/>
        <w:ind w:firstLine="643" w:firstLineChars="200"/>
        <w:rPr>
          <w:rFonts w:ascii="Times New Roman" w:hAnsi="Times New Roman" w:eastAsia="仿宋" w:cs="Times New Roman"/>
          <w:sz w:val="32"/>
          <w:szCs w:val="20"/>
        </w:rPr>
      </w:pPr>
      <w:r>
        <w:rPr>
          <w:rFonts w:ascii="Times New Roman" w:hAnsi="Times New Roman" w:eastAsia="仿宋" w:cs="Times New Roman"/>
          <w:b/>
          <w:bCs/>
          <w:sz w:val="32"/>
          <w:szCs w:val="20"/>
        </w:rPr>
        <w:t>加强新污染物治理。</w:t>
      </w:r>
      <w:r>
        <w:rPr>
          <w:rFonts w:hint="eastAsia" w:ascii="Times New Roman" w:hAnsi="Times New Roman" w:eastAsia="仿宋" w:cs="Times New Roman"/>
          <w:sz w:val="32"/>
          <w:szCs w:val="20"/>
        </w:rPr>
        <w:t>强化电器电子、汽车等重点产品有害物质源头减量和替代。提升持久性有机污染物、内分泌干扰物、抗生素等新污染物的监测能力。</w:t>
      </w:r>
      <w:r>
        <w:rPr>
          <w:rFonts w:ascii="Times New Roman" w:hAnsi="Times New Roman" w:eastAsia="仿宋" w:cs="Times New Roman"/>
          <w:sz w:val="32"/>
          <w:szCs w:val="20"/>
        </w:rPr>
        <w:t>持续开展化学物质环境信息统计调查。严格涉新污染物建设项目环评审批和排污许可管理，严格新化学物质环境管理登记。强化全氟化合物治理，加强抗生素减排管控，推进微塑料污染综合治理。</w:t>
      </w:r>
    </w:p>
    <w:p w14:paraId="0DCAF419">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23" w:name="_Toc240879639"/>
      <w:r>
        <w:rPr>
          <w:rFonts w:hint="eastAsia" w:ascii="Times New Roman" w:hAnsi="Times New Roman" w:eastAsia="楷体" w:cs="Times New Roman"/>
          <w:bCs/>
          <w:color w:val="auto"/>
          <w:kern w:val="44"/>
          <w:sz w:val="32"/>
          <w:szCs w:val="44"/>
        </w:rPr>
        <w:t>第五节 营造宁静宜居环境</w:t>
      </w:r>
      <w:bookmarkEnd w:id="23"/>
    </w:p>
    <w:p w14:paraId="3E032D1D">
      <w:pPr>
        <w:spacing w:after="120" w:line="360" w:lineRule="auto"/>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加强噪声源头防控。</w:t>
      </w:r>
      <w:r>
        <w:rPr>
          <w:rFonts w:hint="eastAsia" w:ascii="仿宋" w:hAnsi="仿宋" w:eastAsia="仿宋" w:cs="仿宋_GB2312"/>
          <w:kern w:val="0"/>
          <w:sz w:val="32"/>
          <w:szCs w:val="32"/>
        </w:rPr>
        <w:t>合理优化工业、公共服务设施和居住用地布局、加强建设项目环境准入管理。完善居住区绿化隔离带，严格执行有关建筑物退让道路边线的距离要求，控制居住区环境噪声。</w:t>
      </w:r>
    </w:p>
    <w:p w14:paraId="1AE676B2">
      <w:pPr>
        <w:spacing w:line="360" w:lineRule="auto"/>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加强对项目施工噪声污染防治的监督管理。</w:t>
      </w:r>
      <w:r>
        <w:rPr>
          <w:rFonts w:hint="eastAsia" w:ascii="仿宋" w:hAnsi="仿宋" w:eastAsia="仿宋" w:cs="仿宋_GB2312"/>
          <w:kern w:val="0"/>
          <w:sz w:val="32"/>
          <w:szCs w:val="32"/>
        </w:rPr>
        <w:t>推进在建工地信息公开，创新施工噪声防治手段，强化施工噪声监管，积极开展建筑施工“远程喊停”监控试点。严格夜间施工许可审批，定期开展多部门联合的建筑施工噪声执法行动。</w:t>
      </w:r>
    </w:p>
    <w:p w14:paraId="1664573E">
      <w:pPr>
        <w:spacing w:line="360" w:lineRule="auto"/>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加强交通噪声污染防治。</w:t>
      </w:r>
      <w:r>
        <w:rPr>
          <w:rFonts w:hint="eastAsia" w:ascii="仿宋" w:hAnsi="仿宋" w:eastAsia="仿宋" w:cs="仿宋_GB2312"/>
          <w:kern w:val="0"/>
          <w:sz w:val="32"/>
          <w:szCs w:val="32"/>
        </w:rPr>
        <w:t>对于“先有房，后有路”且噪声超标扰民的道路和城市轨道交通线路，制定实施噪声治理方案。在噪声敏感建筑物集中区域和敏感时段采取限鸣、限行、限速等措施。严查货车改装、“炸街”等违法行为，优化货车限行时段与路线。</w:t>
      </w:r>
    </w:p>
    <w:p w14:paraId="2273B16E">
      <w:pPr>
        <w:spacing w:line="360" w:lineRule="auto"/>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推进工业噪声治理。</w:t>
      </w:r>
      <w:r>
        <w:rPr>
          <w:rFonts w:hint="eastAsia" w:ascii="仿宋" w:hAnsi="仿宋" w:eastAsia="仿宋" w:cs="仿宋_GB2312"/>
          <w:kern w:val="0"/>
          <w:sz w:val="32"/>
          <w:szCs w:val="32"/>
        </w:rPr>
        <w:t>严格噪声排污许可管理，鼓励企业选用低噪声设备和工艺。强化日常执法巡查，督促工业企业加强噪声治理，及时有效处理噪声扰民问题。</w:t>
      </w:r>
    </w:p>
    <w:p w14:paraId="4B6A7C83">
      <w:pPr>
        <w:spacing w:line="360" w:lineRule="auto"/>
        <w:ind w:firstLine="643" w:firstLineChars="200"/>
        <w:rPr>
          <w:rFonts w:hint="eastAsia" w:ascii="仿宋" w:hAnsi="仿宋" w:eastAsia="仿宋"/>
          <w:sz w:val="28"/>
          <w:szCs w:val="28"/>
        </w:rPr>
      </w:pPr>
      <w:r>
        <w:rPr>
          <w:rFonts w:hint="eastAsia" w:ascii="仿宋" w:hAnsi="仿宋" w:eastAsia="仿宋" w:cs="仿宋_GB2312"/>
          <w:b/>
          <w:bCs/>
          <w:kern w:val="0"/>
          <w:sz w:val="32"/>
          <w:szCs w:val="32"/>
        </w:rPr>
        <w:t>推进社会生活噪声污染防控。</w:t>
      </w:r>
      <w:r>
        <w:rPr>
          <w:rFonts w:hint="eastAsia" w:ascii="仿宋" w:hAnsi="仿宋" w:eastAsia="仿宋" w:cs="仿宋_GB2312"/>
          <w:kern w:val="0"/>
          <w:sz w:val="32"/>
          <w:szCs w:val="32"/>
        </w:rPr>
        <w:t>加强公园噪声管理，强化噪声污染防治宣传教育和引导工作。规范餐饮、娱乐场所等商业经营噪声排放。持续探索小区居民自治管理噪声模式，逐步建立基层调解机制。妥善处置社会生活噪声扰民投诉，推动解决群众关心的突出噪声问题。</w:t>
      </w:r>
    </w:p>
    <w:p w14:paraId="017E890B">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24" w:name="_Toc240879640"/>
      <w:r>
        <w:rPr>
          <w:rFonts w:hint="eastAsia" w:ascii="Times New Roman" w:hAnsi="Times New Roman" w:eastAsia="黑体" w:cs="Times New Roman"/>
          <w:bCs/>
          <w:color w:val="auto"/>
          <w:sz w:val="32"/>
          <w:szCs w:val="32"/>
        </w:rPr>
        <w:t>第五章 提升生态系统多样性稳定性</w:t>
      </w:r>
      <w:bookmarkEnd w:id="24"/>
    </w:p>
    <w:p w14:paraId="6E5C1BB2">
      <w:pPr>
        <w:tabs>
          <w:tab w:val="left" w:pos="0"/>
        </w:tabs>
        <w:spacing w:before="312" w:beforeLines="100" w:after="312" w:afterLines="100" w:line="579" w:lineRule="exact"/>
        <w:ind w:left="420" w:leftChars="200" w:firstLine="198"/>
        <w:jc w:val="center"/>
        <w:outlineLvl w:val="1"/>
        <w:rPr>
          <w:rFonts w:ascii="Times New Roman" w:hAnsi="Times New Roman" w:eastAsia="楷体" w:cs="Times New Roman"/>
          <w:bCs/>
          <w:kern w:val="44"/>
          <w:sz w:val="32"/>
          <w:szCs w:val="44"/>
        </w:rPr>
      </w:pPr>
      <w:bookmarkStart w:id="25" w:name="_Toc240879641"/>
      <w:r>
        <w:rPr>
          <w:rFonts w:hint="eastAsia" w:ascii="Times New Roman" w:hAnsi="Times New Roman" w:eastAsia="楷体" w:cs="Times New Roman"/>
          <w:bCs/>
          <w:kern w:val="44"/>
          <w:sz w:val="32"/>
          <w:szCs w:val="44"/>
        </w:rPr>
        <w:t>第一节 筑牢生态安全屏障</w:t>
      </w:r>
      <w:bookmarkEnd w:id="25"/>
    </w:p>
    <w:p w14:paraId="5E9F7E6A">
      <w:pPr>
        <w:widowControl/>
        <w:spacing w:line="360" w:lineRule="auto"/>
        <w:ind w:firstLine="643" w:firstLineChars="200"/>
        <w:rPr>
          <w:rFonts w:ascii="Times New Roman" w:hAnsi="Times New Roman" w:eastAsia="仿宋_GB2312"/>
          <w:sz w:val="32"/>
          <w:szCs w:val="32"/>
        </w:rPr>
      </w:pPr>
      <w:r>
        <w:rPr>
          <w:rFonts w:hint="eastAsia" w:ascii="仿宋" w:hAnsi="仿宋" w:eastAsia="仿宋" w:cs="仿宋_GB2312"/>
          <w:b/>
          <w:bCs/>
          <w:sz w:val="32"/>
          <w:szCs w:val="32"/>
          <w:lang w:bidi="ar"/>
        </w:rPr>
        <w:t>全面落实国土空间开发保护制度。</w:t>
      </w:r>
      <w:r>
        <w:rPr>
          <w:rFonts w:hint="eastAsia" w:ascii="仿宋" w:hAnsi="仿宋" w:eastAsia="仿宋" w:cs="仿宋_GB2312"/>
          <w:color w:val="000000"/>
          <w:kern w:val="0"/>
          <w:sz w:val="32"/>
          <w:szCs w:val="32"/>
          <w:lang w:bidi="ar"/>
        </w:rPr>
        <w:t>深入实施主体功能区战略，严格落实“三区三线”划定成果，统筹优化农业、生态、城镇等各类空间布局。严格生态保护红线管控，</w:t>
      </w:r>
      <w:r>
        <w:rPr>
          <w:rFonts w:hint="eastAsia" w:ascii="仿宋" w:hAnsi="仿宋" w:eastAsia="仿宋" w:cs="仿宋_GB2312"/>
          <w:sz w:val="32"/>
          <w:szCs w:val="32"/>
          <w:lang w:bidi="ar"/>
        </w:rPr>
        <w:t>坚守耕地和永久基本农田保护红线，严格管控城镇开发边界，优化城镇开发边界内空间资源配置，构建组团布局、紧凑集约的空间结构。</w:t>
      </w:r>
    </w:p>
    <w:p w14:paraId="27C18C8A">
      <w:pPr>
        <w:widowControl/>
        <w:autoSpaceDE w:val="0"/>
        <w:autoSpaceDN w:val="0"/>
        <w:spacing w:line="560" w:lineRule="exact"/>
        <w:ind w:firstLine="643" w:firstLineChars="200"/>
        <w:rPr>
          <w:rFonts w:hint="eastAsia" w:ascii="仿宋" w:hAnsi="仿宋" w:eastAsia="仿宋" w:cs="仿宋_GB2312"/>
          <w:color w:val="000000"/>
          <w:kern w:val="0"/>
          <w:sz w:val="32"/>
          <w:szCs w:val="32"/>
          <w:lang w:bidi="ar"/>
        </w:rPr>
      </w:pPr>
      <w:r>
        <w:rPr>
          <w:rFonts w:hint="eastAsia" w:ascii="仿宋" w:hAnsi="仿宋" w:eastAsia="仿宋" w:cs="仿宋_GB2312"/>
          <w:b/>
          <w:bCs/>
          <w:sz w:val="32"/>
          <w:szCs w:val="32"/>
        </w:rPr>
        <w:t>优化生态空间格局。</w:t>
      </w:r>
      <w:r>
        <w:rPr>
          <w:rFonts w:hint="eastAsia" w:ascii="仿宋" w:hAnsi="仿宋" w:eastAsia="仿宋" w:cs="仿宋_GB2312"/>
          <w:color w:val="000000"/>
          <w:kern w:val="0"/>
          <w:sz w:val="32"/>
          <w:szCs w:val="32"/>
          <w:lang w:bidi="ar"/>
        </w:rPr>
        <w:t>保护和合理利用自然山水格局，提高生态空间连通性，</w:t>
      </w:r>
      <w:r>
        <w:rPr>
          <w:rFonts w:hint="eastAsia" w:ascii="仿宋" w:hAnsi="仿宋" w:eastAsia="仿宋" w:cs="仿宋_GB2312"/>
          <w:sz w:val="32"/>
          <w:szCs w:val="32"/>
        </w:rPr>
        <w:t>构建“一湾两带多廊”生态空间格局。</w:t>
      </w:r>
      <w:r>
        <w:rPr>
          <w:rFonts w:hint="eastAsia" w:ascii="仿宋" w:hAnsi="仿宋" w:eastAsia="仿宋" w:cs="仿宋_GB2312"/>
          <w:color w:val="000000"/>
          <w:kern w:val="0"/>
          <w:sz w:val="32"/>
          <w:szCs w:val="32"/>
          <w:lang w:bidi="ar"/>
        </w:rPr>
        <w:t>以王子山森林公园、九龙潭森林公园等生态公园为主体，打造大湾区北部重要的生态涵养地。加强巴江、流溪河流域河流生态基底保护，提升沿岸景观与游憩设施建设。结合城区河渠、主要城市干道、带状绿地、碧道、绿道等线性开敞空间，构建区域、组团、社区三级生态廊道网络。</w:t>
      </w:r>
    </w:p>
    <w:p w14:paraId="4739506A">
      <w:pPr>
        <w:widowControl/>
        <w:autoSpaceDE w:val="0"/>
        <w:autoSpaceDN w:val="0"/>
        <w:spacing w:line="560" w:lineRule="exact"/>
        <w:ind w:firstLine="643" w:firstLineChars="200"/>
        <w:rPr>
          <w:rFonts w:hint="eastAsia" w:ascii="仿宋" w:hAnsi="仿宋" w:eastAsia="仿宋" w:cs="仿宋_GB2312"/>
          <w:sz w:val="32"/>
          <w:szCs w:val="32"/>
        </w:rPr>
      </w:pPr>
      <w:r>
        <w:rPr>
          <w:rFonts w:hint="eastAsia" w:ascii="仿宋" w:hAnsi="仿宋" w:eastAsia="仿宋" w:cs="仿宋_GB2312"/>
          <w:b/>
          <w:bCs/>
          <w:sz w:val="32"/>
          <w:szCs w:val="32"/>
        </w:rPr>
        <w:t>健全自然保护地体系。</w:t>
      </w:r>
      <w:r>
        <w:rPr>
          <w:rFonts w:hint="eastAsia" w:ascii="仿宋" w:hAnsi="仿宋" w:eastAsia="仿宋" w:cs="仿宋_GB2312"/>
          <w:color w:val="000000"/>
          <w:kern w:val="0"/>
          <w:sz w:val="32"/>
          <w:szCs w:val="32"/>
          <w:lang w:bidi="ar"/>
        </w:rPr>
        <w:t>分区分类开展受损自然生态系统修复，连通重要生态廊道，促进重要栖息地恢复和废弃地修复。推</w:t>
      </w:r>
      <w:r>
        <w:rPr>
          <w:rFonts w:hint="eastAsia" w:ascii="仿宋" w:hAnsi="仿宋" w:eastAsia="仿宋" w:cs="仿宋_GB2312"/>
          <w:sz w:val="32"/>
          <w:szCs w:val="32"/>
        </w:rPr>
        <w:t>进自然保护地基础设施建设，完善管护巡护</w:t>
      </w:r>
      <w:r>
        <w:rPr>
          <w:rFonts w:hint="eastAsia" w:ascii="仿宋" w:hAnsi="仿宋" w:eastAsia="仿宋" w:cs="仿宋_GB2312"/>
          <w:color w:val="000000"/>
          <w:kern w:val="0"/>
          <w:sz w:val="32"/>
          <w:szCs w:val="32"/>
          <w:lang w:bidi="ar"/>
        </w:rPr>
        <w:t>系统、防灾减灾系统。完善自然保护地监测网络，加强科研监测体系建设。加强管理队伍建设，配置完善技术装备，逐步实现规范化和标准化。</w:t>
      </w:r>
    </w:p>
    <w:p w14:paraId="7CCEDAE1">
      <w:pPr>
        <w:pStyle w:val="21"/>
        <w:rPr>
          <w:rFonts w:hint="eastAsia"/>
        </w:rPr>
      </w:pPr>
    </w:p>
    <w:p w14:paraId="26AFEAEB">
      <w:pPr>
        <w:tabs>
          <w:tab w:val="left" w:pos="0"/>
        </w:tabs>
        <w:spacing w:before="312" w:beforeLines="100" w:after="312" w:afterLines="100" w:line="579" w:lineRule="exact"/>
        <w:ind w:left="420" w:leftChars="200" w:firstLine="198"/>
        <w:jc w:val="center"/>
        <w:outlineLvl w:val="1"/>
        <w:rPr>
          <w:rFonts w:ascii="Times New Roman" w:hAnsi="Times New Roman" w:eastAsia="楷体" w:cs="Times New Roman"/>
          <w:bCs/>
          <w:kern w:val="44"/>
          <w:sz w:val="32"/>
          <w:szCs w:val="44"/>
        </w:rPr>
      </w:pPr>
      <w:bookmarkStart w:id="26" w:name="_Toc240879642"/>
      <w:r>
        <w:rPr>
          <w:rFonts w:hint="eastAsia" w:ascii="Times New Roman" w:hAnsi="Times New Roman" w:eastAsia="楷体" w:cs="Times New Roman"/>
          <w:bCs/>
          <w:kern w:val="44"/>
          <w:sz w:val="32"/>
          <w:szCs w:val="44"/>
        </w:rPr>
        <w:t>第二节 推进生态系统一体化治理</w:t>
      </w:r>
      <w:bookmarkEnd w:id="26"/>
    </w:p>
    <w:p w14:paraId="45D3F28B">
      <w:pPr>
        <w:widowControl/>
        <w:autoSpaceDE w:val="0"/>
        <w:autoSpaceDN w:val="0"/>
        <w:adjustRightInd w:val="0"/>
        <w:spacing w:line="560" w:lineRule="exact"/>
        <w:ind w:firstLine="643" w:firstLineChars="200"/>
        <w:rPr>
          <w:rFonts w:hint="eastAsia" w:ascii="仿宋" w:hAnsi="仿宋" w:eastAsia="仿宋" w:cs="仿宋_GB2312"/>
          <w:color w:val="000000"/>
          <w:kern w:val="0"/>
          <w:sz w:val="32"/>
          <w:szCs w:val="32"/>
          <w:lang w:bidi="ar"/>
        </w:rPr>
      </w:pPr>
      <w:r>
        <w:rPr>
          <w:rFonts w:hint="eastAsia" w:ascii="仿宋" w:hAnsi="仿宋" w:eastAsia="仿宋" w:cs="仿宋_GB2312"/>
          <w:b/>
          <w:bCs/>
          <w:sz w:val="32"/>
          <w:szCs w:val="32"/>
        </w:rPr>
        <w:t>加强山生态系统修复。</w:t>
      </w:r>
      <w:r>
        <w:rPr>
          <w:rFonts w:hint="eastAsia" w:ascii="仿宋" w:hAnsi="仿宋" w:eastAsia="仿宋" w:cs="仿宋_GB2312"/>
          <w:color w:val="000000"/>
          <w:kern w:val="0"/>
          <w:sz w:val="32"/>
          <w:szCs w:val="32"/>
          <w:lang w:bidi="ar"/>
        </w:rPr>
        <w:t>修复受损山体，推进矿山生态修复工程，严格控制矿产资源开发强度。推进山体公园、环山绿道等建设，以花果山公园、花都儿童公园为样板，打造城市内部生态游憩空间。</w:t>
      </w:r>
    </w:p>
    <w:p w14:paraId="6F0C88AC">
      <w:pPr>
        <w:widowControl/>
        <w:autoSpaceDE w:val="0"/>
        <w:autoSpaceDN w:val="0"/>
        <w:adjustRightInd w:val="0"/>
        <w:spacing w:line="560" w:lineRule="exact"/>
        <w:ind w:firstLine="643" w:firstLineChars="200"/>
        <w:rPr>
          <w:rFonts w:hint="eastAsia" w:ascii="仿宋" w:hAnsi="仿宋" w:eastAsia="仿宋" w:cs="仿宋_GB2312"/>
          <w:color w:val="000000"/>
          <w:kern w:val="0"/>
          <w:sz w:val="32"/>
          <w:szCs w:val="32"/>
          <w:lang w:bidi="ar"/>
        </w:rPr>
      </w:pPr>
      <w:r>
        <w:rPr>
          <w:rFonts w:hint="eastAsia" w:ascii="仿宋" w:hAnsi="仿宋" w:eastAsia="仿宋" w:cs="仿宋_GB2312"/>
          <w:b/>
          <w:bCs/>
          <w:color w:val="000000"/>
          <w:kern w:val="0"/>
          <w:sz w:val="32"/>
          <w:szCs w:val="32"/>
          <w:lang w:bidi="ar"/>
        </w:rPr>
        <w:t>加强森林生态治理与保护。</w:t>
      </w:r>
      <w:r>
        <w:rPr>
          <w:rFonts w:ascii="仿宋_GB2312" w:hAnsi="宋体" w:eastAsia="仿宋_GB2312" w:cs="仿宋_GB2312"/>
          <w:color w:val="000000"/>
          <w:kern w:val="0"/>
          <w:sz w:val="31"/>
          <w:szCs w:val="31"/>
          <w:lang w:bidi="ar"/>
        </w:rPr>
        <w:t>科学开展国土绿化行动，</w:t>
      </w:r>
      <w:r>
        <w:rPr>
          <w:rFonts w:hint="eastAsia" w:ascii="仿宋_GB2312" w:hAnsi="仿宋_GB2312" w:eastAsia="仿宋_GB2312" w:cs="仿宋_GB2312"/>
          <w:color w:val="000000"/>
          <w:kern w:val="0"/>
          <w:sz w:val="32"/>
          <w:szCs w:val="32"/>
          <w:lang w:bidi="ar"/>
        </w:rPr>
        <w:t>深入实施森林质量精准提升。开展低效生态公益林林分改造和退化生态公益林人工修复工作，</w:t>
      </w:r>
      <w:r>
        <w:rPr>
          <w:rFonts w:hint="eastAsia" w:ascii="仿宋" w:hAnsi="仿宋" w:eastAsia="仿宋" w:cs="仿宋_GB2312"/>
          <w:color w:val="000000"/>
          <w:kern w:val="0"/>
          <w:sz w:val="32"/>
          <w:szCs w:val="32"/>
          <w:lang w:bidi="ar"/>
        </w:rPr>
        <w:t>实施芙蓉嶂水库、九湾潭水库、福源水库等</w:t>
      </w:r>
      <w:r>
        <w:rPr>
          <w:rFonts w:hint="eastAsia" w:ascii="仿宋" w:hAnsi="仿宋" w:eastAsia="仿宋" w:cs="仿宋_GB2312"/>
          <w:sz w:val="32"/>
          <w:szCs w:val="32"/>
          <w:lang w:bidi="ar"/>
        </w:rPr>
        <w:t>水源林</w:t>
      </w:r>
      <w:r>
        <w:rPr>
          <w:rFonts w:hint="eastAsia" w:ascii="仿宋" w:hAnsi="仿宋" w:eastAsia="仿宋" w:cs="仿宋_GB2312"/>
          <w:color w:val="000000"/>
          <w:kern w:val="0"/>
          <w:sz w:val="32"/>
          <w:szCs w:val="32"/>
          <w:lang w:bidi="ar"/>
        </w:rPr>
        <w:t>修复。</w:t>
      </w:r>
      <w:r>
        <w:rPr>
          <w:rFonts w:hint="eastAsia" w:ascii="仿宋_GB2312" w:hAnsi="宋体" w:eastAsia="仿宋_GB2312" w:cs="仿宋_GB2312"/>
          <w:color w:val="000000"/>
          <w:kern w:val="0"/>
          <w:sz w:val="31"/>
          <w:szCs w:val="31"/>
          <w:lang w:bidi="ar"/>
        </w:rPr>
        <w:t>打造九龙湖绿美点，构建“一径六森林”生态格局。</w:t>
      </w:r>
      <w:r>
        <w:rPr>
          <w:rFonts w:hint="eastAsia" w:ascii="仿宋" w:hAnsi="仿宋" w:eastAsia="仿宋" w:cs="仿宋_GB2312"/>
          <w:color w:val="000000"/>
          <w:kern w:val="0"/>
          <w:sz w:val="32"/>
          <w:szCs w:val="32"/>
          <w:lang w:bidi="ar"/>
        </w:rPr>
        <w:t>加强大广高速、广清高速等高快速路和国省道绿带建设。开展山地造林，推进农田林网和沿河、沿路防护林建设，打造山、路、田、城相连的防护林体系。</w:t>
      </w:r>
    </w:p>
    <w:p w14:paraId="4EE427F1">
      <w:pPr>
        <w:widowControl/>
        <w:autoSpaceDE w:val="0"/>
        <w:autoSpaceDN w:val="0"/>
        <w:adjustRightInd w:val="0"/>
        <w:spacing w:line="560" w:lineRule="exact"/>
        <w:ind w:firstLine="643" w:firstLineChars="200"/>
        <w:rPr>
          <w:rFonts w:hint="eastAsia" w:ascii="仿宋" w:hAnsi="仿宋" w:eastAsia="仿宋" w:cs="仿宋_GB2312"/>
          <w:color w:val="000000"/>
          <w:kern w:val="0"/>
          <w:sz w:val="32"/>
          <w:szCs w:val="32"/>
          <w:lang w:bidi="ar"/>
        </w:rPr>
      </w:pPr>
      <w:r>
        <w:rPr>
          <w:rFonts w:hint="eastAsia" w:ascii="仿宋" w:hAnsi="仿宋" w:eastAsia="仿宋" w:cs="仿宋_GB2312"/>
          <w:b/>
          <w:bCs/>
          <w:color w:val="000000"/>
          <w:kern w:val="0"/>
          <w:sz w:val="32"/>
          <w:szCs w:val="32"/>
          <w:lang w:bidi="ar"/>
        </w:rPr>
        <w:t>强化重点河湖生态系统修复。</w:t>
      </w:r>
      <w:r>
        <w:rPr>
          <w:rFonts w:hint="eastAsia" w:ascii="仿宋" w:hAnsi="仿宋" w:eastAsia="仿宋" w:cs="仿宋_GB2312"/>
          <w:color w:val="000000"/>
          <w:kern w:val="0"/>
          <w:sz w:val="32"/>
          <w:szCs w:val="32"/>
          <w:lang w:bidi="ar"/>
        </w:rPr>
        <w:t>重点对流溪河、巴江河等河流型水源地和天马河、新街河等城中河涌开展综合修复治理，恢复河湖生态功能。强化九湾潭水库等湖库型水源地周边水源林建设，提升水源涵养功能。强化湿地用途管制，打造水上森林、田园湿地、河岸湿地等形式多样的湿地系统。加强水生态系统监测与评估，保障河湖健康。</w:t>
      </w:r>
    </w:p>
    <w:p w14:paraId="21DD3353">
      <w:pPr>
        <w:widowControl/>
        <w:autoSpaceDE w:val="0"/>
        <w:autoSpaceDN w:val="0"/>
        <w:adjustRightInd w:val="0"/>
        <w:spacing w:line="560" w:lineRule="exact"/>
        <w:ind w:firstLine="643" w:firstLineChars="200"/>
        <w:jc w:val="left"/>
        <w:rPr>
          <w:rFonts w:hint="eastAsia" w:ascii="仿宋" w:hAnsi="仿宋" w:eastAsia="仿宋" w:cs="仿宋_GB2312"/>
          <w:sz w:val="32"/>
          <w:szCs w:val="32"/>
          <w:lang w:bidi="ar"/>
        </w:rPr>
      </w:pPr>
      <w:r>
        <w:rPr>
          <w:rFonts w:hint="eastAsia" w:ascii="仿宋" w:hAnsi="仿宋" w:eastAsia="仿宋" w:cs="仿宋_GB2312"/>
          <w:b/>
          <w:bCs/>
          <w:sz w:val="32"/>
          <w:szCs w:val="32"/>
          <w:lang w:bidi="ar"/>
        </w:rPr>
        <w:t>推进城乡生态系统建设与修复。</w:t>
      </w:r>
      <w:r>
        <w:rPr>
          <w:rFonts w:hint="eastAsia" w:ascii="仿宋" w:hAnsi="仿宋" w:eastAsia="仿宋" w:cs="仿宋_GB2312"/>
          <w:sz w:val="32"/>
          <w:szCs w:val="32"/>
          <w:lang w:bidi="ar"/>
        </w:rPr>
        <w:t>坚持城乡一体的发展理念，构建“生态公园—城市公园—社区公园（乡村公园）—游园（口袋公园）”四级城乡公园体系。建设全域公园城市，城区重点打造由天马河、花都湖、新街河生态廊道等构成的“环城翠环”；近郊结合乡村振兴带建设，塑造由巴江河、流溪河、山前旅游大道等构成的“环乡翠环”。</w:t>
      </w:r>
      <w:r>
        <w:rPr>
          <w:rFonts w:hint="eastAsia" w:ascii="仿宋_GB2312" w:hAnsi="宋体" w:eastAsia="仿宋_GB2312" w:cs="仿宋_GB2312"/>
          <w:color w:val="000000"/>
          <w:kern w:val="0"/>
          <w:sz w:val="31"/>
          <w:szCs w:val="31"/>
          <w:lang w:bidi="ar"/>
        </w:rPr>
        <w:t>科学开展</w:t>
      </w:r>
      <w:r>
        <w:rPr>
          <w:rFonts w:hint="eastAsia" w:ascii="仿宋" w:hAnsi="仿宋" w:eastAsia="仿宋" w:cs="仿宋_GB2312"/>
          <w:color w:val="000000"/>
          <w:kern w:val="0"/>
          <w:sz w:val="32"/>
          <w:szCs w:val="32"/>
          <w:lang w:bidi="ar"/>
        </w:rPr>
        <w:t>乡村绿化美化，</w:t>
      </w:r>
      <w:r>
        <w:rPr>
          <w:rFonts w:hint="eastAsia" w:ascii="仿宋" w:hAnsi="仿宋" w:eastAsia="仿宋" w:cs="仿宋_GB2312"/>
          <w:sz w:val="32"/>
          <w:szCs w:val="32"/>
          <w:lang w:bidi="ar"/>
        </w:rPr>
        <w:t>构建绿道、碧道网络，完善线性休闲游憩空间建设。</w:t>
      </w:r>
    </w:p>
    <w:p w14:paraId="3E06CAC6">
      <w:pPr>
        <w:tabs>
          <w:tab w:val="left" w:pos="0"/>
        </w:tabs>
        <w:spacing w:before="312" w:beforeLines="100" w:after="312" w:afterLines="100" w:line="579" w:lineRule="exact"/>
        <w:ind w:left="420" w:leftChars="200" w:firstLine="198"/>
        <w:jc w:val="center"/>
        <w:outlineLvl w:val="1"/>
        <w:rPr>
          <w:rFonts w:ascii="Times New Roman" w:hAnsi="Times New Roman" w:eastAsia="楷体" w:cs="Times New Roman"/>
          <w:bCs/>
          <w:kern w:val="44"/>
          <w:sz w:val="32"/>
          <w:szCs w:val="44"/>
        </w:rPr>
      </w:pPr>
      <w:bookmarkStart w:id="27" w:name="_Toc240879643"/>
      <w:r>
        <w:rPr>
          <w:rFonts w:hint="eastAsia" w:ascii="Times New Roman" w:hAnsi="Times New Roman" w:eastAsia="楷体" w:cs="Times New Roman"/>
          <w:bCs/>
          <w:kern w:val="44"/>
          <w:sz w:val="32"/>
          <w:szCs w:val="44"/>
        </w:rPr>
        <w:t>第三节 保护生物多样性</w:t>
      </w:r>
      <w:bookmarkEnd w:id="27"/>
    </w:p>
    <w:p w14:paraId="3427D561">
      <w:pPr>
        <w:widowControl/>
        <w:autoSpaceDE w:val="0"/>
        <w:autoSpaceDN w:val="0"/>
        <w:spacing w:line="560" w:lineRule="exact"/>
        <w:ind w:firstLine="643" w:firstLineChars="200"/>
        <w:jc w:val="left"/>
        <w:rPr>
          <w:rFonts w:hint="eastAsia" w:ascii="仿宋" w:hAnsi="仿宋" w:eastAsia="仿宋" w:cs="仿宋_GB2312"/>
          <w:b/>
          <w:bCs/>
          <w:color w:val="000000"/>
          <w:kern w:val="0"/>
          <w:sz w:val="32"/>
          <w:szCs w:val="32"/>
          <w:lang w:bidi="ar"/>
        </w:rPr>
      </w:pPr>
      <w:r>
        <w:rPr>
          <w:rFonts w:hint="eastAsia" w:ascii="仿宋" w:hAnsi="仿宋" w:eastAsia="仿宋" w:cs="仿宋_GB2312"/>
          <w:b/>
          <w:bCs/>
          <w:color w:val="000000"/>
          <w:kern w:val="0"/>
          <w:sz w:val="32"/>
          <w:szCs w:val="32"/>
          <w:lang w:bidi="ar"/>
        </w:rPr>
        <w:t>健全生物多样性保护政策。</w:t>
      </w:r>
      <w:r>
        <w:rPr>
          <w:rFonts w:hint="eastAsia" w:ascii="仿宋" w:hAnsi="仿宋" w:eastAsia="仿宋" w:cs="仿宋_GB2312"/>
          <w:color w:val="000000"/>
          <w:kern w:val="0"/>
          <w:sz w:val="32"/>
          <w:szCs w:val="32"/>
          <w:lang w:bidi="ar"/>
        </w:rPr>
        <w:t>强化生物多样性保护跨部门协调机制，加强信息共享、部门联动和监督检查。加强普法宣传、科普教育等，推动强化社会监督，提升公众生物多样性保护意识和参与度。</w:t>
      </w:r>
    </w:p>
    <w:p w14:paraId="4A954C70">
      <w:pPr>
        <w:spacing w:line="560" w:lineRule="exact"/>
        <w:ind w:firstLine="643" w:firstLineChars="200"/>
        <w:rPr>
          <w:rFonts w:hint="eastAsia" w:ascii="仿宋" w:hAnsi="仿宋" w:eastAsia="仿宋" w:cs="仿宋_GB2312"/>
          <w:color w:val="000000"/>
          <w:kern w:val="0"/>
          <w:sz w:val="32"/>
          <w:szCs w:val="32"/>
          <w:lang w:bidi="ar"/>
        </w:rPr>
      </w:pPr>
      <w:r>
        <w:rPr>
          <w:rFonts w:hint="eastAsia" w:ascii="仿宋" w:hAnsi="仿宋" w:eastAsia="仿宋" w:cs="仿宋_GB2312"/>
          <w:b/>
          <w:bCs/>
          <w:color w:val="000000"/>
          <w:kern w:val="0"/>
          <w:sz w:val="32"/>
          <w:szCs w:val="32"/>
          <w:lang w:bidi="ar"/>
        </w:rPr>
        <w:t>加强物种多样性保护。</w:t>
      </w:r>
      <w:r>
        <w:rPr>
          <w:rFonts w:hint="eastAsia" w:ascii="仿宋" w:hAnsi="仿宋" w:eastAsia="仿宋" w:cs="仿宋_GB2312"/>
          <w:color w:val="000000"/>
          <w:kern w:val="0"/>
          <w:sz w:val="32"/>
          <w:szCs w:val="32"/>
          <w:lang w:bidi="ar"/>
        </w:rPr>
        <w:t>加强岭南地区物种、群落和生态系统多样性的保护与提升，强化多类型生境、物种迁移廊道的保护与恢复。加强水生动物产卵场、繁殖场、索饵场、洄游通道等重要渔业水域保护。提升花都湖等水鸟生境的环境质量，保育东亚—澳大利西亚候鸟迁飞通道、珠三角水鸟生态廊道。加强生物多样性调查和长期监测，推进城市生物多样性智慧化监管，积极应用人工智能、物联网等新技术，加快推广机器视觉、声纹识别技术在生物多样性监测中的应用。</w:t>
      </w:r>
    </w:p>
    <w:p w14:paraId="5CA246EB">
      <w:pPr>
        <w:widowControl/>
        <w:autoSpaceDE w:val="0"/>
        <w:autoSpaceDN w:val="0"/>
        <w:adjustRightInd w:val="0"/>
        <w:spacing w:line="560" w:lineRule="exact"/>
        <w:ind w:firstLine="643" w:firstLineChars="200"/>
        <w:rPr>
          <w:rFonts w:hint="eastAsia" w:ascii="仿宋" w:hAnsi="仿宋" w:eastAsia="仿宋" w:cs="仿宋_GB2312"/>
          <w:sz w:val="32"/>
          <w:szCs w:val="32"/>
          <w:lang w:bidi="ar"/>
        </w:rPr>
      </w:pPr>
      <w:r>
        <w:rPr>
          <w:rFonts w:hint="eastAsia" w:ascii="仿宋" w:hAnsi="仿宋" w:eastAsia="仿宋" w:cs="仿宋_GB2312"/>
          <w:b/>
          <w:bCs/>
          <w:color w:val="000000"/>
          <w:kern w:val="0"/>
          <w:sz w:val="32"/>
          <w:szCs w:val="32"/>
          <w:lang w:bidi="ar"/>
        </w:rPr>
        <w:t>加强生物安全管理。</w:t>
      </w:r>
      <w:r>
        <w:rPr>
          <w:rFonts w:hint="eastAsia" w:ascii="仿宋" w:hAnsi="仿宋" w:eastAsia="仿宋" w:cs="仿宋_GB2312"/>
          <w:sz w:val="32"/>
          <w:szCs w:val="32"/>
          <w:lang w:bidi="ar"/>
        </w:rPr>
        <w:t>定期开展外来入侵物种监测调查，健全外来物种数据库，完善预警机制，</w:t>
      </w:r>
      <w:r>
        <w:rPr>
          <w:rFonts w:hint="eastAsia" w:ascii="仿宋" w:hAnsi="仿宋" w:eastAsia="仿宋" w:cs="仿宋_GB2312"/>
          <w:kern w:val="0"/>
          <w:sz w:val="32"/>
          <w:szCs w:val="32"/>
          <w:lang w:bidi="ar"/>
        </w:rPr>
        <w:t>及时采取控</w:t>
      </w:r>
      <w:r>
        <w:rPr>
          <w:rFonts w:hint="eastAsia" w:ascii="仿宋" w:hAnsi="仿宋" w:eastAsia="仿宋" w:cs="仿宋_GB2312"/>
          <w:sz w:val="32"/>
          <w:szCs w:val="32"/>
          <w:lang w:bidi="ar"/>
        </w:rPr>
        <w:t>制、评估、清除、生态修复等措施。加强生物安全风险防控，建立本地物种、特有种标本和基因库。加强生物疫情与生物灾害监测，强化生物技术环境安全管理和病原微生物实验室日常监管。</w:t>
      </w:r>
    </w:p>
    <w:p w14:paraId="5887843B">
      <w:pPr>
        <w:tabs>
          <w:tab w:val="left" w:pos="0"/>
        </w:tabs>
        <w:overflowPunct w:val="0"/>
        <w:spacing w:before="312" w:beforeLines="100" w:after="312" w:afterLines="100" w:line="579" w:lineRule="exact"/>
        <w:ind w:left="420" w:leftChars="200" w:firstLine="640" w:firstLineChars="200"/>
        <w:jc w:val="center"/>
        <w:outlineLvl w:val="1"/>
        <w:rPr>
          <w:rFonts w:ascii="Times New Roman" w:hAnsi="Times New Roman" w:eastAsia="楷体"/>
        </w:rPr>
      </w:pPr>
      <w:bookmarkStart w:id="28" w:name="_Toc240879644"/>
      <w:bookmarkStart w:id="29" w:name="_Toc219883066"/>
      <w:r>
        <w:rPr>
          <w:rFonts w:hint="eastAsia" w:ascii="Times New Roman" w:hAnsi="Times New Roman" w:eastAsia="楷体" w:cs="Times New Roman"/>
          <w:bCs/>
          <w:kern w:val="44"/>
          <w:sz w:val="32"/>
          <w:szCs w:val="44"/>
        </w:rPr>
        <w:t>第四节 加强生态保护修复统一监管</w:t>
      </w:r>
      <w:bookmarkEnd w:id="28"/>
      <w:bookmarkEnd w:id="29"/>
    </w:p>
    <w:p w14:paraId="61E8A39F">
      <w:pPr>
        <w:widowControl/>
        <w:autoSpaceDE w:val="0"/>
        <w:autoSpaceDN w:val="0"/>
        <w:adjustRightInd w:val="0"/>
        <w:spacing w:line="560" w:lineRule="exact"/>
        <w:ind w:firstLine="643" w:firstLineChars="200"/>
        <w:rPr>
          <w:rFonts w:hint="eastAsia" w:ascii="仿宋" w:hAnsi="仿宋" w:eastAsia="仿宋" w:cs="仿宋"/>
          <w:sz w:val="32"/>
          <w:szCs w:val="32"/>
          <w:lang w:bidi="ar"/>
        </w:rPr>
      </w:pPr>
      <w:r>
        <w:rPr>
          <w:rFonts w:hint="eastAsia" w:ascii="仿宋" w:hAnsi="仿宋" w:eastAsia="仿宋" w:cs="仿宋"/>
          <w:b/>
          <w:sz w:val="32"/>
          <w:szCs w:val="32"/>
        </w:rPr>
        <w:t>推进生态系统监测评估。</w:t>
      </w:r>
      <w:r>
        <w:rPr>
          <w:rFonts w:hint="eastAsia" w:ascii="仿宋" w:hAnsi="仿宋" w:eastAsia="仿宋" w:cs="仿宋"/>
          <w:sz w:val="32"/>
          <w:szCs w:val="32"/>
          <w:lang w:bidi="ar"/>
        </w:rPr>
        <w:t>加强生态状况监测评估，完善覆盖环境质量、污染源、生态状况的生态环境监测网络，扎实推进自然保护地和生态保护红线保护成效评估。推进重要生态系统生态保护修复评估，强化生态保护修复项目事中事后监管。</w:t>
      </w:r>
    </w:p>
    <w:p w14:paraId="34DA02F3">
      <w:pPr>
        <w:widowControl/>
        <w:autoSpaceDE w:val="0"/>
        <w:autoSpaceDN w:val="0"/>
        <w:adjustRightInd w:val="0"/>
        <w:spacing w:line="560" w:lineRule="exact"/>
        <w:ind w:firstLine="643" w:firstLineChars="200"/>
        <w:rPr>
          <w:rFonts w:hint="eastAsia" w:ascii="仿宋" w:hAnsi="仿宋" w:eastAsia="仿宋" w:cs="仿宋_GB2312"/>
          <w:sz w:val="32"/>
          <w:szCs w:val="32"/>
          <w:lang w:bidi="ar"/>
        </w:rPr>
      </w:pPr>
      <w:r>
        <w:rPr>
          <w:rFonts w:hint="eastAsia" w:ascii="仿宋" w:hAnsi="仿宋" w:eastAsia="仿宋" w:cs="仿宋"/>
          <w:b/>
          <w:sz w:val="32"/>
          <w:szCs w:val="32"/>
        </w:rPr>
        <w:t>加强生态系统监管。</w:t>
      </w:r>
      <w:r>
        <w:rPr>
          <w:rFonts w:hint="eastAsia" w:ascii="仿宋" w:hAnsi="仿宋" w:eastAsia="仿宋" w:cs="仿宋_GB2312"/>
          <w:sz w:val="32"/>
          <w:szCs w:val="32"/>
          <w:lang w:bidi="ar"/>
        </w:rPr>
        <w:t>加强自然保护地和生态保护红线监管，持续推进“绿盾”重要生态空间强化监督,健全生态环境问题监督机制。加强重大生态破坏事件线索收集、调查评估、整改销号等，建立健全部门协作处理工作机制。</w:t>
      </w:r>
    </w:p>
    <w:p w14:paraId="5863606D">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30" w:name="_Toc240879645"/>
      <w:r>
        <w:rPr>
          <w:rFonts w:hint="eastAsia" w:ascii="Times New Roman" w:hAnsi="Times New Roman" w:eastAsia="黑体" w:cs="Times New Roman"/>
          <w:bCs/>
          <w:color w:val="auto"/>
          <w:sz w:val="32"/>
          <w:szCs w:val="32"/>
        </w:rPr>
        <w:t>第六章 守牢生态环境安全底线</w:t>
      </w:r>
      <w:bookmarkEnd w:id="30"/>
    </w:p>
    <w:p w14:paraId="77772D2E">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31" w:name="_Toc240879646"/>
      <w:r>
        <w:rPr>
          <w:rFonts w:hint="eastAsia" w:ascii="Times New Roman" w:hAnsi="Times New Roman" w:eastAsia="楷体" w:cs="Times New Roman"/>
          <w:bCs/>
          <w:color w:val="auto"/>
          <w:kern w:val="44"/>
          <w:sz w:val="32"/>
          <w:szCs w:val="44"/>
        </w:rPr>
        <w:t>第一节 严密防控环境风险</w:t>
      </w:r>
      <w:bookmarkEnd w:id="31"/>
    </w:p>
    <w:p w14:paraId="320D3A05">
      <w:pPr>
        <w:topLinePunct/>
        <w:spacing w:line="560" w:lineRule="exac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加强重点区域环境风险。</w:t>
      </w:r>
      <w:r>
        <w:rPr>
          <w:rFonts w:hint="eastAsia" w:ascii="仿宋" w:hAnsi="仿宋" w:eastAsia="仿宋" w:cs="仿宋_GB2312"/>
          <w:kern w:val="0"/>
          <w:sz w:val="32"/>
          <w:szCs w:val="32"/>
        </w:rPr>
        <w:t>实施基于环境风险的产业准入策略，严格落实环境风险防范安全距离。以化工企业、危险化学品运输道路、重点流域、饮用水水源地为重点，系统开展环境风险评估与环境应急能力研究。</w:t>
      </w:r>
    </w:p>
    <w:p w14:paraId="4077927B">
      <w:pPr>
        <w:topLinePunct/>
        <w:spacing w:line="560" w:lineRule="exac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推动重金属环境风险精准防控。</w:t>
      </w:r>
      <w:r>
        <w:rPr>
          <w:rFonts w:hint="eastAsia" w:ascii="仿宋" w:hAnsi="仿宋" w:eastAsia="仿宋" w:cs="仿宋_GB2312"/>
          <w:kern w:val="0"/>
          <w:sz w:val="32"/>
          <w:szCs w:val="32"/>
        </w:rPr>
        <w:t>以重点行业企业、工业园区、堆（渣）场等污染源为重点，推进重金属环境安全隐患排查整治。加强重点行业建设项目环境准入，推动涉重金属重点行业企业升级改造和绿色转型，指导重点行业企业定期开展隐患排查整治。</w:t>
      </w:r>
    </w:p>
    <w:p w14:paraId="463B4928">
      <w:pPr>
        <w:topLinePunct/>
        <w:spacing w:line="560" w:lineRule="exac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提高危险化学品管理水平。</w:t>
      </w:r>
      <w:r>
        <w:rPr>
          <w:rFonts w:hint="eastAsia" w:ascii="仿宋" w:hAnsi="仿宋" w:eastAsia="仿宋" w:cs="仿宋_GB2312"/>
          <w:kern w:val="0"/>
          <w:sz w:val="32"/>
          <w:szCs w:val="32"/>
        </w:rPr>
        <w:t>推进应急管理、生态环境部门协同监管，完善环境风险数据动态更新和共享机制。优化涉危险化学品企业布局，严格执行与居民区安全距离等有关规定。强化危险化学品企业全生命周期管理，严格常态化监管执法。</w:t>
      </w:r>
    </w:p>
    <w:p w14:paraId="6B726084">
      <w:pPr>
        <w:topLinePunct/>
        <w:spacing w:line="560" w:lineRule="exac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提高环境监测预警、应急管理水平。</w:t>
      </w:r>
      <w:r>
        <w:rPr>
          <w:rFonts w:hint="eastAsia" w:ascii="仿宋" w:hAnsi="仿宋" w:eastAsia="仿宋" w:cs="仿宋_GB2312"/>
          <w:kern w:val="0"/>
          <w:sz w:val="32"/>
          <w:szCs w:val="32"/>
        </w:rPr>
        <w:t>强化突发环境事件应急预案备案管理。鼓励有条件的工业园区、聚集区开展环境风险预警体系建设。构建环境应急物资储备体系，建成重点河流库区2小时应急物资圈。定期开展环境应急培训和演练，制定和完善各类应急预案操作手册，提高基层人员环境风险防范和应急能力。</w:t>
      </w:r>
    </w:p>
    <w:p w14:paraId="1DED91C1">
      <w:pPr>
        <w:topLinePunct/>
        <w:spacing w:line="560" w:lineRule="exact"/>
        <w:ind w:firstLine="643" w:firstLineChars="200"/>
        <w:rPr>
          <w:rFonts w:hint="eastAsia"/>
        </w:rPr>
      </w:pPr>
      <w:r>
        <w:rPr>
          <w:rFonts w:hint="eastAsia" w:ascii="仿宋" w:hAnsi="仿宋" w:eastAsia="仿宋" w:cs="仿宋_GB2312"/>
          <w:b/>
          <w:bCs/>
          <w:kern w:val="0"/>
          <w:sz w:val="32"/>
          <w:szCs w:val="32"/>
        </w:rPr>
        <w:t>强化放射源和射线装置的申报登记和许可证管理。</w:t>
      </w:r>
      <w:r>
        <w:rPr>
          <w:rFonts w:hint="eastAsia" w:ascii="仿宋" w:hAnsi="仿宋" w:eastAsia="仿宋" w:cs="仿宋_GB2312"/>
          <w:kern w:val="0"/>
          <w:sz w:val="32"/>
          <w:szCs w:val="32"/>
        </w:rPr>
        <w:t>完善放射源和射线装置数据库，保持放射源建档率100%，放射性废源、废物收贮率100%。强化对放射性废物的全过程监管，加强对电磁辐射污染的动态管理。</w:t>
      </w:r>
    </w:p>
    <w:p w14:paraId="3DFD5EDF">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32" w:name="_Toc240879647"/>
      <w:r>
        <w:rPr>
          <w:rFonts w:hint="eastAsia" w:ascii="Times New Roman" w:hAnsi="Times New Roman" w:eastAsia="楷体" w:cs="Times New Roman"/>
          <w:bCs/>
          <w:color w:val="auto"/>
          <w:kern w:val="44"/>
          <w:sz w:val="32"/>
          <w:szCs w:val="44"/>
        </w:rPr>
        <w:t>第二节 提升气候变化适应能力</w:t>
      </w:r>
      <w:bookmarkEnd w:id="32"/>
    </w:p>
    <w:p w14:paraId="3C2D6EF9">
      <w:pPr>
        <w:snapToGrid w:val="0"/>
        <w:spacing w:line="560" w:lineRule="atLeas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建设科学合理的城市防洪排涝体系。</w:t>
      </w:r>
      <w:r>
        <w:rPr>
          <w:rFonts w:hint="eastAsia" w:ascii="仿宋" w:hAnsi="仿宋" w:eastAsia="仿宋" w:cs="仿宋_GB2312"/>
          <w:kern w:val="0"/>
          <w:sz w:val="32"/>
          <w:szCs w:val="32"/>
        </w:rPr>
        <w:t>推进通风廊道建设，持续探索可持续、可负担的城市降温综合解决方案。加快推进海绵城市建设，打造一批海绵型道路、海绵型公园与海绵社区示范项目，提升建成区雨水积存与蓄滞能力。加强雨洪资源化利用设施建设，系统构建安全韧性、自然蓄排的城市水系统，提高对暴雨、台风等极端气候的防御和适应能力。</w:t>
      </w:r>
    </w:p>
    <w:p w14:paraId="49272406">
      <w:pPr>
        <w:snapToGrid w:val="0"/>
        <w:spacing w:line="560" w:lineRule="atLeas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加强气候变化监测预警和风险管理，加强气候变化影响和风险评估。</w:t>
      </w:r>
      <w:r>
        <w:rPr>
          <w:rFonts w:hint="eastAsia" w:ascii="仿宋" w:hAnsi="仿宋" w:eastAsia="仿宋" w:cs="仿宋_GB2312"/>
          <w:kern w:val="0"/>
          <w:sz w:val="32"/>
          <w:szCs w:val="32"/>
        </w:rPr>
        <w:t>完善气候相关灾害风险区划和减灾预案。强化重大灾害防御与应急管理。加强山区地质灾害、山洪等灾害的预警报水平及防御能力，重点开展地质灾害重大隐患调查与治理。</w:t>
      </w:r>
    </w:p>
    <w:p w14:paraId="7D9DDD02">
      <w:pPr>
        <w:pStyle w:val="3"/>
        <w:keepNext w:val="0"/>
        <w:keepLines w:val="0"/>
        <w:widowControl/>
        <w:tabs>
          <w:tab w:val="left" w:pos="0"/>
        </w:tabs>
        <w:spacing w:before="312" w:beforeLines="100" w:after="312" w:afterLines="100" w:line="579" w:lineRule="exact"/>
        <w:ind w:left="420"/>
        <w:jc w:val="center"/>
        <w:rPr>
          <w:rFonts w:ascii="Times New Roman" w:hAnsi="Times New Roman" w:eastAsia="楷体" w:cs="Times New Roman"/>
          <w:bCs/>
          <w:color w:val="auto"/>
          <w:kern w:val="44"/>
          <w:sz w:val="32"/>
          <w:szCs w:val="44"/>
        </w:rPr>
      </w:pPr>
      <w:bookmarkStart w:id="33" w:name="_Toc240879648"/>
      <w:r>
        <w:rPr>
          <w:rFonts w:hint="eastAsia" w:ascii="Times New Roman" w:hAnsi="Times New Roman" w:eastAsia="楷体" w:cs="Times New Roman"/>
          <w:bCs/>
          <w:color w:val="auto"/>
          <w:kern w:val="44"/>
          <w:sz w:val="32"/>
          <w:szCs w:val="44"/>
        </w:rPr>
        <w:t>第三节 强化环境健康管理</w:t>
      </w:r>
      <w:bookmarkEnd w:id="33"/>
    </w:p>
    <w:p w14:paraId="2C3485F8">
      <w:pPr>
        <w:snapToGrid w:val="0"/>
        <w:spacing w:line="560" w:lineRule="atLeas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推进环境健康管理制度建设。</w:t>
      </w:r>
      <w:bookmarkStart w:id="34" w:name="_Hlk202546894"/>
      <w:r>
        <w:rPr>
          <w:rFonts w:hint="eastAsia" w:ascii="仿宋" w:hAnsi="仿宋" w:eastAsia="仿宋" w:cs="仿宋_GB2312"/>
          <w:kern w:val="0"/>
          <w:sz w:val="32"/>
          <w:szCs w:val="32"/>
        </w:rPr>
        <w:t>探索</w:t>
      </w:r>
      <w:bookmarkEnd w:id="34"/>
      <w:r>
        <w:rPr>
          <w:rFonts w:hint="eastAsia" w:ascii="仿宋" w:hAnsi="仿宋" w:eastAsia="仿宋" w:cs="仿宋_GB2312"/>
          <w:kern w:val="0"/>
          <w:sz w:val="32"/>
          <w:szCs w:val="32"/>
        </w:rPr>
        <w:t>建立部门协作、群众参与、共治共享的环境健康管理工作体系。推动环境健康管理与生态环境分区管控、环境影响评价等工作相结合，持续提升居民生态环境健康素养水平。</w:t>
      </w:r>
    </w:p>
    <w:p w14:paraId="760458D3">
      <w:pPr>
        <w:snapToGrid w:val="0"/>
        <w:spacing w:line="560" w:lineRule="atLeast"/>
        <w:ind w:firstLine="643" w:firstLineChars="200"/>
        <w:rPr>
          <w:rFonts w:hint="eastAsia" w:ascii="仿宋" w:hAnsi="仿宋" w:eastAsia="仿宋" w:cs="仿宋_GB2312"/>
          <w:kern w:val="0"/>
          <w:sz w:val="32"/>
          <w:szCs w:val="32"/>
        </w:rPr>
      </w:pPr>
      <w:r>
        <w:rPr>
          <w:rFonts w:hint="eastAsia" w:ascii="仿宋" w:hAnsi="仿宋" w:eastAsia="仿宋" w:cs="仿宋_GB2312"/>
          <w:b/>
          <w:bCs/>
          <w:kern w:val="0"/>
          <w:sz w:val="32"/>
          <w:szCs w:val="32"/>
        </w:rPr>
        <w:t>完善环境健康管理技术体系。</w:t>
      </w:r>
      <w:r>
        <w:rPr>
          <w:rFonts w:hint="eastAsia" w:ascii="仿宋" w:hAnsi="仿宋" w:eastAsia="仿宋" w:cs="仿宋_GB2312"/>
          <w:kern w:val="0"/>
          <w:sz w:val="32"/>
          <w:szCs w:val="32"/>
        </w:rPr>
        <w:t>完善环境健康监测网络，对人群环境健康指数进行实时监控。因地制宜解决人民群众反映集中的油烟及恶臭异味扰民问题。开展重点行业和区域生态环境健康风险评估和管控，形成区域环境健康管理信息数据库。</w:t>
      </w:r>
    </w:p>
    <w:p w14:paraId="5A925BDF">
      <w:pPr>
        <w:pStyle w:val="2"/>
        <w:tabs>
          <w:tab w:val="left" w:pos="0"/>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35" w:name="_Toc240879649"/>
      <w:r>
        <w:rPr>
          <w:rFonts w:hint="eastAsia" w:ascii="Times New Roman" w:hAnsi="Times New Roman" w:eastAsia="黑体" w:cs="Times New Roman"/>
          <w:bCs/>
          <w:color w:val="auto"/>
          <w:sz w:val="32"/>
          <w:szCs w:val="32"/>
        </w:rPr>
        <w:t>第七章 提升生态环境治理体系现代化水平</w:t>
      </w:r>
      <w:bookmarkEnd w:id="35"/>
    </w:p>
    <w:p w14:paraId="3BDB51D4">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36" w:name="_Toc240879650"/>
      <w:r>
        <w:rPr>
          <w:rFonts w:hint="eastAsia" w:ascii="Times New Roman" w:hAnsi="Times New Roman" w:eastAsia="楷体" w:cs="Times New Roman"/>
          <w:bCs/>
          <w:color w:val="auto"/>
          <w:kern w:val="44"/>
          <w:sz w:val="32"/>
          <w:szCs w:val="44"/>
        </w:rPr>
        <w:t>第一节 完善责任体系</w:t>
      </w:r>
      <w:bookmarkEnd w:id="36"/>
    </w:p>
    <w:p w14:paraId="67DF075B">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完善生态文明统筹协调机制。</w:t>
      </w:r>
      <w:r>
        <w:rPr>
          <w:rFonts w:hint="eastAsia" w:ascii="仿宋" w:hAnsi="仿宋" w:eastAsia="仿宋"/>
          <w:sz w:val="32"/>
          <w:szCs w:val="32"/>
        </w:rPr>
        <w:t>围绕美丽花都建设，加快推动形成全链条、全方位、全过程的生态环境管理体系。建立完善以美丽花都建设导向的领导责任机制。深入实施自然资源资产离任审计、生态环境损害责任追究等制度。深化生态环境损害赔偿制度。持续深化落实河湖长制、林长制，健全生态环境保护督察整改落实长效机制，完善跨部门、跨区域联动机制。</w:t>
      </w:r>
    </w:p>
    <w:p w14:paraId="722A29FD">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落实企业污染治理主体责任。</w:t>
      </w:r>
      <w:r>
        <w:rPr>
          <w:rFonts w:hint="eastAsia" w:ascii="仿宋" w:hAnsi="仿宋" w:eastAsia="仿宋"/>
          <w:sz w:val="32"/>
          <w:szCs w:val="32"/>
        </w:rPr>
        <w:t>综合应用法治、市场、科技、行政等多种手段，坚持引导激励与约束惩戒并举，形成推动企业主动治污的长效机制。落实信息披露制度，健全生态环境领域守信激励、失信惩戒及信用修复机制。探索开展环境、社会和企业治理</w:t>
      </w:r>
      <w:r>
        <w:rPr>
          <w:rFonts w:ascii="仿宋" w:hAnsi="仿宋" w:eastAsia="仿宋"/>
          <w:sz w:val="32"/>
          <w:szCs w:val="32"/>
        </w:rPr>
        <w:t>(ESG)评价，加强在绿色信贷、绿色债券、监督执法等方面的应用。</w:t>
      </w:r>
    </w:p>
    <w:p w14:paraId="5699B962">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充分激发生态环境保护社会力量。</w:t>
      </w:r>
      <w:r>
        <w:rPr>
          <w:rFonts w:hint="eastAsia" w:ascii="仿宋" w:hAnsi="仿宋" w:eastAsia="仿宋"/>
          <w:sz w:val="32"/>
          <w:szCs w:val="32"/>
        </w:rPr>
        <w:t>加大对生态环境志愿服务组织和环保社会组织的支持引导和培育力度。</w:t>
      </w:r>
      <w:bookmarkStart w:id="37" w:name="OLE_LINK38"/>
      <w:bookmarkStart w:id="38" w:name="OLE_LINK37"/>
      <w:r>
        <w:rPr>
          <w:rFonts w:hint="eastAsia" w:ascii="仿宋" w:hAnsi="仿宋" w:eastAsia="仿宋"/>
          <w:sz w:val="32"/>
          <w:szCs w:val="32"/>
        </w:rPr>
        <w:t>支持生态环境行业协会、学会等社会组织发展，推动行业自律。</w:t>
      </w:r>
      <w:bookmarkStart w:id="39" w:name="OLE_LINK34"/>
      <w:bookmarkStart w:id="40" w:name="OLE_LINK33"/>
      <w:bookmarkStart w:id="41" w:name="OLE_LINK31"/>
      <w:bookmarkStart w:id="42" w:name="OLE_LINK32"/>
      <w:bookmarkStart w:id="43" w:name="OLE_LINK39"/>
      <w:r>
        <w:rPr>
          <w:rFonts w:hint="eastAsia" w:ascii="仿宋" w:hAnsi="仿宋" w:eastAsia="仿宋"/>
          <w:sz w:val="32"/>
          <w:szCs w:val="32"/>
        </w:rPr>
        <w:t>健</w:t>
      </w:r>
      <w:bookmarkEnd w:id="37"/>
      <w:bookmarkEnd w:id="38"/>
      <w:r>
        <w:rPr>
          <w:rFonts w:hint="eastAsia" w:ascii="仿宋" w:hAnsi="仿宋" w:eastAsia="仿宋"/>
          <w:sz w:val="32"/>
          <w:szCs w:val="32"/>
        </w:rPr>
        <w:t>全政府及企业环境信息公开机制，完善公众生态环境监督和</w:t>
      </w:r>
      <w:bookmarkEnd w:id="39"/>
      <w:bookmarkEnd w:id="40"/>
      <w:r>
        <w:rPr>
          <w:rFonts w:hint="eastAsia" w:ascii="仿宋" w:hAnsi="仿宋" w:eastAsia="仿宋"/>
          <w:sz w:val="32"/>
          <w:szCs w:val="32"/>
        </w:rPr>
        <w:t>举</w:t>
      </w:r>
      <w:bookmarkEnd w:id="41"/>
      <w:bookmarkEnd w:id="42"/>
      <w:r>
        <w:rPr>
          <w:rFonts w:hint="eastAsia" w:ascii="仿宋" w:hAnsi="仿宋" w:eastAsia="仿宋"/>
          <w:sz w:val="32"/>
          <w:szCs w:val="32"/>
        </w:rPr>
        <w:t>报反馈机制。</w:t>
      </w:r>
      <w:bookmarkEnd w:id="43"/>
    </w:p>
    <w:p w14:paraId="6269C2C9">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44" w:name="_Toc240879651"/>
      <w:r>
        <w:rPr>
          <w:rFonts w:hint="eastAsia" w:ascii="Times New Roman" w:hAnsi="Times New Roman" w:eastAsia="楷体" w:cs="Times New Roman"/>
          <w:bCs/>
          <w:color w:val="auto"/>
          <w:kern w:val="44"/>
          <w:sz w:val="32"/>
          <w:szCs w:val="44"/>
        </w:rPr>
        <w:t>第二节 健全监管体系</w:t>
      </w:r>
      <w:bookmarkEnd w:id="44"/>
    </w:p>
    <w:p w14:paraId="0E627F3A">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强化生态环境分区管控。</w:t>
      </w:r>
      <w:r>
        <w:rPr>
          <w:rFonts w:hint="eastAsia" w:ascii="仿宋" w:hAnsi="仿宋" w:eastAsia="仿宋"/>
          <w:sz w:val="32"/>
          <w:szCs w:val="32"/>
        </w:rPr>
        <w:t>细化花都区分区管控方案，推动成果应用。推动生活、生产与生态空间格局进一步优化融合。加强生态环境分区管控信息共享，开展定期调整与动态更新。</w:t>
      </w:r>
    </w:p>
    <w:p w14:paraId="73B77E41">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持续深化环评制度改革。</w:t>
      </w:r>
      <w:r>
        <w:rPr>
          <w:rFonts w:hint="eastAsia" w:ascii="仿宋" w:hAnsi="仿宋" w:eastAsia="仿宋"/>
          <w:sz w:val="32"/>
          <w:szCs w:val="32"/>
        </w:rPr>
        <w:t>建立健全以环境影响评价制度为主体的源头预防体系，统筹优化环评分级分类管理。深化生态环境领域“放管服”改革。加强生态环境分区管控和规划环评宏观指导、强化环评监管和信息化支撑。强化对环评文件编制单位、编制人员和环评专家的监督管理。加强环评管理与碳排放双控等制度衔接，加强重点行业建设项目温室气体排放评价。</w:t>
      </w:r>
    </w:p>
    <w:p w14:paraId="61736791">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完善排污许可制度。</w:t>
      </w:r>
      <w:r>
        <w:rPr>
          <w:rFonts w:hint="eastAsia" w:ascii="仿宋" w:hAnsi="仿宋" w:eastAsia="仿宋"/>
          <w:sz w:val="32"/>
          <w:szCs w:val="32"/>
        </w:rPr>
        <w:t>全面实行排污许可制度，推动重点行业环境影响评价、排污许可、监管执法全闭环管理，推动排污许可与环境影响评价衔接。强化排污许可证后监管，开展固定污染源排污许可专项执法。加强排污许可证信息公开，持续做好排污许可证换证或登记延续动态更新。</w:t>
      </w:r>
    </w:p>
    <w:p w14:paraId="23590B81">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健全环境治理信用体系。</w:t>
      </w:r>
      <w:r>
        <w:rPr>
          <w:rFonts w:hint="eastAsia" w:ascii="仿宋" w:hAnsi="仿宋" w:eastAsia="仿宋"/>
          <w:sz w:val="32"/>
          <w:szCs w:val="32"/>
        </w:rPr>
        <w:t>完善企业环保信用评价及修复机制，落实企业环保信用评价制度，坚持守信激励和失信惩戒相结合，落实评价结果的分级分类管理机制。</w:t>
      </w:r>
    </w:p>
    <w:p w14:paraId="2A1B27EF">
      <w:pPr>
        <w:snapToGrid w:val="0"/>
        <w:spacing w:line="560" w:lineRule="atLeast"/>
        <w:ind w:firstLine="643" w:firstLineChars="200"/>
        <w:rPr>
          <w:rFonts w:hint="eastAsia"/>
          <w:sz w:val="22"/>
          <w:szCs w:val="24"/>
        </w:rPr>
      </w:pPr>
      <w:r>
        <w:rPr>
          <w:rFonts w:hint="eastAsia" w:ascii="仿宋" w:hAnsi="仿宋" w:eastAsia="仿宋"/>
          <w:b/>
          <w:sz w:val="32"/>
          <w:szCs w:val="32"/>
        </w:rPr>
        <w:t>完善生态环境监管体系。</w:t>
      </w:r>
      <w:r>
        <w:rPr>
          <w:rFonts w:hint="eastAsia" w:ascii="仿宋" w:hAnsi="仿宋" w:eastAsia="仿宋"/>
          <w:sz w:val="32"/>
          <w:szCs w:val="32"/>
        </w:rPr>
        <w:t>持续提升生态环境监测监管能力，提升监测机构能力。创新推行生态环境执法监管模式，强化生态环境保护综合行政执法和司法协作。推进生态环境保护综合行政执法机构规范化建设。通过多种方式全面提高执法人员的业务素质。健全以“双随机、一公开”监管为基本手段、以重点监管为补充、以信用监管为基础的监管机制。完善生态环境监督执法正面清单常态化工作机制。</w:t>
      </w:r>
    </w:p>
    <w:p w14:paraId="6ED7CE05">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45" w:name="_Toc240879652"/>
      <w:r>
        <w:rPr>
          <w:rFonts w:hint="eastAsia" w:ascii="Times New Roman" w:hAnsi="Times New Roman" w:eastAsia="楷体" w:cs="Times New Roman"/>
          <w:bCs/>
          <w:color w:val="auto"/>
          <w:kern w:val="44"/>
          <w:sz w:val="32"/>
          <w:szCs w:val="44"/>
        </w:rPr>
        <w:t>第三节 培育市场体系</w:t>
      </w:r>
      <w:bookmarkEnd w:id="45"/>
    </w:p>
    <w:p w14:paraId="6807799E">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鼓励绿色消费。</w:t>
      </w:r>
      <w:r>
        <w:rPr>
          <w:rFonts w:hint="eastAsia" w:ascii="仿宋" w:hAnsi="仿宋" w:eastAsia="仿宋"/>
          <w:sz w:val="32"/>
          <w:szCs w:val="32"/>
        </w:rPr>
        <w:t>加强绿色采购，构建有利于促进绿色低碳发展和资源高效利用的财税政策体系。</w:t>
      </w:r>
      <w:bookmarkStart w:id="46" w:name="OLE_LINK3"/>
      <w:r>
        <w:rPr>
          <w:rFonts w:hint="eastAsia" w:ascii="仿宋" w:hAnsi="仿宋" w:eastAsia="仿宋"/>
          <w:sz w:val="32"/>
          <w:szCs w:val="32"/>
        </w:rPr>
        <w:t>健全绿色产品设</w:t>
      </w:r>
      <w:bookmarkEnd w:id="46"/>
      <w:r>
        <w:rPr>
          <w:rFonts w:hint="eastAsia" w:ascii="仿宋" w:hAnsi="仿宋" w:eastAsia="仿宋"/>
          <w:sz w:val="32"/>
          <w:szCs w:val="32"/>
        </w:rPr>
        <w:t>计、采购、制造标准，建立产品碳标识认证制度，健全绿色消费激励机制。</w:t>
      </w:r>
    </w:p>
    <w:p w14:paraId="01D1A082">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规范环境治理市场秩序。</w:t>
      </w:r>
      <w:r>
        <w:rPr>
          <w:rFonts w:hint="eastAsia" w:ascii="仿宋" w:hAnsi="仿宋" w:eastAsia="仿宋"/>
          <w:sz w:val="32"/>
          <w:szCs w:val="32"/>
        </w:rPr>
        <w:t>引导各类资本参与生态环境治理投资、建设、运行。规范市场秩序。配合上级主管部门加强对环评文件编制和环境检测等第三方服务机构监管评估，健全惩戒、退出机制，加快形成公开透明、规范有序的环境治理市场环境。</w:t>
      </w:r>
    </w:p>
    <w:p w14:paraId="6207433D">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强化环保产业支撑。</w:t>
      </w:r>
      <w:r>
        <w:rPr>
          <w:rFonts w:hint="eastAsia" w:ascii="仿宋" w:hAnsi="仿宋" w:eastAsia="仿宋"/>
          <w:sz w:val="32"/>
          <w:szCs w:val="32"/>
        </w:rPr>
        <w:t>积极培育壮大环保产业，支持相关企业积极参与关键环保技术产品自主创新，加大环保产业技术装备研发力度。</w:t>
      </w:r>
    </w:p>
    <w:p w14:paraId="4BAB54DA">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做好绿色金融新文章。</w:t>
      </w:r>
      <w:bookmarkStart w:id="47" w:name="OLE_LINK5"/>
      <w:r>
        <w:rPr>
          <w:rFonts w:hint="eastAsia" w:ascii="仿宋" w:hAnsi="仿宋" w:eastAsia="仿宋"/>
          <w:sz w:val="32"/>
          <w:szCs w:val="32"/>
        </w:rPr>
        <w:t>支持广州碳排放权交易中心建设省级生态产品价值实现平台，探索开展碳排放权、绿电绿证、用水权、排污权等绿色要素交易，拓宽碳汇市场化交易路径。</w:t>
      </w:r>
      <w:bookmarkEnd w:id="47"/>
      <w:r>
        <w:rPr>
          <w:rFonts w:hint="eastAsia" w:ascii="仿宋" w:hAnsi="仿宋" w:eastAsia="仿宋"/>
          <w:sz w:val="32"/>
          <w:szCs w:val="32"/>
        </w:rPr>
        <w:t>积极谋划美丽城市建设投融资项目、美丽广东建设投融资项目</w:t>
      </w:r>
      <w:r>
        <w:rPr>
          <w:rFonts w:ascii="仿宋" w:hAnsi="仿宋" w:eastAsia="仿宋"/>
          <w:sz w:val="32"/>
          <w:szCs w:val="32"/>
        </w:rPr>
        <w:t>。</w:t>
      </w:r>
    </w:p>
    <w:p w14:paraId="06E309F0">
      <w:pPr>
        <w:snapToGrid w:val="0"/>
        <w:spacing w:line="560" w:lineRule="atLeast"/>
        <w:ind w:firstLine="643" w:firstLineChars="200"/>
        <w:rPr>
          <w:rFonts w:hint="eastAsia" w:ascii="仿宋" w:hAnsi="仿宋" w:eastAsia="仿宋"/>
          <w:sz w:val="32"/>
          <w:szCs w:val="32"/>
        </w:rPr>
      </w:pPr>
      <w:bookmarkStart w:id="48" w:name="OLE_LINK6"/>
      <w:r>
        <w:rPr>
          <w:rFonts w:hint="eastAsia" w:ascii="仿宋" w:hAnsi="仿宋" w:eastAsia="仿宋"/>
          <w:b/>
          <w:sz w:val="32"/>
          <w:szCs w:val="32"/>
        </w:rPr>
        <w:t>拓宽价值实现新路径。</w:t>
      </w:r>
      <w:r>
        <w:rPr>
          <w:rFonts w:hint="eastAsia" w:ascii="仿宋" w:hAnsi="仿宋" w:eastAsia="仿宋"/>
          <w:sz w:val="32"/>
          <w:szCs w:val="32"/>
        </w:rPr>
        <w:t>依托九龙湖绿美点，创新“林业</w:t>
      </w:r>
      <w:r>
        <w:rPr>
          <w:rFonts w:ascii="仿宋" w:hAnsi="仿宋" w:eastAsia="仿宋"/>
          <w:sz w:val="32"/>
          <w:szCs w:val="32"/>
        </w:rPr>
        <w:t>+文旅+产业+碳汇”融合发</w:t>
      </w:r>
      <w:r>
        <w:rPr>
          <w:rFonts w:hint="eastAsia" w:ascii="仿宋" w:hAnsi="仿宋" w:eastAsia="仿宋"/>
          <w:sz w:val="32"/>
          <w:szCs w:val="32"/>
        </w:rPr>
        <w:t>展模式。提升花都蓝莓、炭步芋头、赤坭盆景、梯面西洋菜等特色农产品的产业链价值，发展休闲农业与乡村生态旅游。</w:t>
      </w:r>
      <w:bookmarkEnd w:id="48"/>
      <w:r>
        <w:rPr>
          <w:rFonts w:ascii="仿宋" w:hAnsi="仿宋" w:eastAsia="仿宋"/>
          <w:sz w:val="32"/>
          <w:szCs w:val="32"/>
        </w:rPr>
        <w:t>鼓励开展生态产品总值</w:t>
      </w:r>
      <w:r>
        <w:rPr>
          <w:rFonts w:hint="eastAsia" w:ascii="仿宋" w:hAnsi="仿宋" w:eastAsia="仿宋"/>
          <w:sz w:val="32"/>
          <w:szCs w:val="32"/>
        </w:rPr>
        <w:t>（GEP）</w:t>
      </w:r>
      <w:r>
        <w:rPr>
          <w:rFonts w:ascii="仿宋" w:hAnsi="仿宋" w:eastAsia="仿宋"/>
          <w:sz w:val="32"/>
          <w:szCs w:val="32"/>
        </w:rPr>
        <w:t>核算试点。</w:t>
      </w:r>
      <w:r>
        <w:rPr>
          <w:rFonts w:hint="eastAsia" w:ascii="仿宋" w:hAnsi="仿宋" w:eastAsia="仿宋"/>
          <w:sz w:val="32"/>
          <w:szCs w:val="32"/>
        </w:rPr>
        <w:t>推进林业碳汇项目开发。</w:t>
      </w:r>
    </w:p>
    <w:p w14:paraId="4F00EE64">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49" w:name="_Toc240879653"/>
      <w:r>
        <w:rPr>
          <w:rFonts w:hint="eastAsia" w:ascii="Times New Roman" w:hAnsi="Times New Roman" w:eastAsia="楷体" w:cs="Times New Roman"/>
          <w:bCs/>
          <w:color w:val="auto"/>
          <w:kern w:val="44"/>
          <w:sz w:val="32"/>
          <w:szCs w:val="44"/>
        </w:rPr>
        <w:t>第四节 构建全民行动体系</w:t>
      </w:r>
      <w:bookmarkEnd w:id="49"/>
    </w:p>
    <w:p w14:paraId="71C640A0">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提高全社会生态环保意识。</w:t>
      </w:r>
      <w:r>
        <w:rPr>
          <w:rFonts w:hint="eastAsia" w:ascii="仿宋" w:hAnsi="仿宋" w:eastAsia="仿宋"/>
          <w:sz w:val="32"/>
          <w:szCs w:val="32"/>
        </w:rPr>
        <w:t>在领导干部教育培训中设置生态环境保护专题，支持各级学校、幼儿园开展生态环境教育，推动高等院校开设生态环境教育专业、课程。推进生态文明教育进家庭、进社区、进工厂、进机关、进农村。推进生态文明宣教基地建设。充分运用好报、网、端、微融媒体优势加强生态环境保护宣传教育。开展节约型机关、绿色社区、绿色家庭、绿色出行、绿色商场、绿色建筑创建行动。推行碳普惠制，深入开展垃圾分类。树立环保诚信企业等正面典型，曝光违法案件。</w:t>
      </w:r>
    </w:p>
    <w:p w14:paraId="5DAA3335">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塑造花都生态文化品牌。</w:t>
      </w:r>
      <w:r>
        <w:rPr>
          <w:rFonts w:hint="eastAsia" w:ascii="仿宋" w:hAnsi="仿宋" w:eastAsia="仿宋"/>
          <w:sz w:val="32"/>
          <w:szCs w:val="32"/>
        </w:rPr>
        <w:t>探索在生态文明新时期城区文化脉络延续和魅力彰显的路径，弘扬宗祠文化、华侨文化、广府文化和客家文化等丰富多元的地域文化</w:t>
      </w:r>
      <w:r>
        <w:rPr>
          <w:rFonts w:ascii="仿宋" w:hAnsi="仿宋" w:eastAsia="仿宋"/>
          <w:sz w:val="32"/>
          <w:szCs w:val="32"/>
        </w:rPr>
        <w:t>。打造创意旅游及衍生产品，鼓励生态文明相关主题的文化作品创作。</w:t>
      </w:r>
    </w:p>
    <w:p w14:paraId="657B6679">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加大环保宣教力度。</w:t>
      </w:r>
      <w:r>
        <w:rPr>
          <w:rFonts w:hint="eastAsia" w:ascii="仿宋" w:hAnsi="仿宋" w:eastAsia="仿宋"/>
          <w:sz w:val="32"/>
          <w:szCs w:val="32"/>
        </w:rPr>
        <w:t>强化宣教队伍素质能力建设。完善宣教设施和人员配置。落实环境宣教的标准化建设工作，鼓励社会力量积极参与。多方融资确保宣教经费的投入。</w:t>
      </w:r>
    </w:p>
    <w:p w14:paraId="4A171137">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发挥社会团体作用。</w:t>
      </w:r>
      <w:r>
        <w:rPr>
          <w:rFonts w:hint="eastAsia" w:ascii="仿宋" w:hAnsi="仿宋" w:eastAsia="仿宋"/>
          <w:sz w:val="32"/>
          <w:szCs w:val="32"/>
        </w:rPr>
        <w:t>依托工会、共青团、妇联等群团组织，调动广大职工、青年、妇女参与生态环境治理的主观能动性。引导环保社会公益和志愿服务健康发展，支持具备资格的环保组织依法开展生态环境公益诉讼等活动。</w:t>
      </w:r>
    </w:p>
    <w:p w14:paraId="71FC3BFA">
      <w:pPr>
        <w:snapToGrid w:val="0"/>
        <w:spacing w:line="560" w:lineRule="atLeast"/>
        <w:ind w:firstLine="643" w:firstLineChars="200"/>
        <w:rPr>
          <w:rFonts w:hint="eastAsia" w:ascii="仿宋" w:hAnsi="仿宋" w:eastAsia="仿宋"/>
          <w:sz w:val="32"/>
          <w:szCs w:val="32"/>
        </w:rPr>
      </w:pPr>
      <w:bookmarkStart w:id="50" w:name="OLE_LINK30"/>
      <w:bookmarkStart w:id="51" w:name="OLE_LINK29"/>
      <w:r>
        <w:rPr>
          <w:rFonts w:hint="eastAsia" w:ascii="仿宋" w:hAnsi="仿宋" w:eastAsia="仿宋"/>
          <w:b/>
          <w:sz w:val="32"/>
          <w:szCs w:val="32"/>
        </w:rPr>
        <w:t>强化行业自律。</w:t>
      </w:r>
      <w:r>
        <w:rPr>
          <w:rFonts w:hint="eastAsia" w:ascii="仿宋" w:hAnsi="仿宋" w:eastAsia="仿宋"/>
          <w:sz w:val="32"/>
          <w:szCs w:val="32"/>
        </w:rPr>
        <w:t>强化对企业生态环境行为的正向引导，积极推广应用绿色生产技术。</w:t>
      </w:r>
    </w:p>
    <w:bookmarkEnd w:id="50"/>
    <w:bookmarkEnd w:id="51"/>
    <w:p w14:paraId="7495CD38">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落实生态环境保护信息公开机制。</w:t>
      </w:r>
      <w:r>
        <w:rPr>
          <w:rFonts w:hint="eastAsia" w:ascii="仿宋" w:hAnsi="仿宋" w:eastAsia="仿宋"/>
          <w:sz w:val="32"/>
          <w:szCs w:val="32"/>
        </w:rPr>
        <w:t>推进环境信息公开渠道多元化、覆盖全面化。加大对重大环保政策、生态环境监测、重点污染源、突发环境事件等生态环境信息的公开力度。强化舆情防控与应对。推进落实环境决策公众参与机制。</w:t>
      </w:r>
    </w:p>
    <w:p w14:paraId="31EED0A9">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完善社会监督机制。</w:t>
      </w:r>
      <w:r>
        <w:rPr>
          <w:rFonts w:hint="eastAsia" w:ascii="仿宋" w:hAnsi="仿宋" w:eastAsia="仿宋"/>
          <w:sz w:val="32"/>
          <w:szCs w:val="32"/>
        </w:rPr>
        <w:t>落实公众监督和举报反馈制度。加强督办，推进落实重大环境信访问题部门联动机制。发挥舆论监督作用。</w:t>
      </w:r>
    </w:p>
    <w:p w14:paraId="31C7ABDA">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52" w:name="_Toc240879654"/>
      <w:r>
        <w:rPr>
          <w:rFonts w:hint="eastAsia" w:ascii="Times New Roman" w:hAnsi="Times New Roman" w:eastAsia="楷体" w:cs="Times New Roman"/>
          <w:bCs/>
          <w:color w:val="auto"/>
          <w:kern w:val="44"/>
          <w:sz w:val="32"/>
          <w:szCs w:val="44"/>
        </w:rPr>
        <w:t>第五节 提升智慧治理水平</w:t>
      </w:r>
      <w:bookmarkEnd w:id="52"/>
    </w:p>
    <w:p w14:paraId="54189679">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加强环境科技支撑和信息化建设。</w:t>
      </w:r>
      <w:r>
        <w:rPr>
          <w:rFonts w:hint="eastAsia" w:ascii="仿宋" w:hAnsi="仿宋" w:eastAsia="仿宋"/>
          <w:sz w:val="32"/>
          <w:szCs w:val="32"/>
        </w:rPr>
        <w:t>加强生态环境数据信息化手段实际应用、拓展丰富应用场景。持续加强生态环境大数据建设。</w:t>
      </w:r>
    </w:p>
    <w:p w14:paraId="4E517659">
      <w:pPr>
        <w:snapToGrid w:val="0"/>
        <w:spacing w:line="560" w:lineRule="atLeast"/>
        <w:ind w:firstLine="643" w:firstLineChars="200"/>
        <w:rPr>
          <w:rFonts w:hint="eastAsia" w:ascii="仿宋" w:hAnsi="仿宋" w:eastAsia="仿宋"/>
          <w:sz w:val="32"/>
          <w:szCs w:val="32"/>
        </w:rPr>
      </w:pPr>
      <w:r>
        <w:rPr>
          <w:rFonts w:hint="eastAsia" w:ascii="仿宋" w:hAnsi="仿宋" w:eastAsia="仿宋"/>
          <w:b/>
          <w:sz w:val="32"/>
          <w:szCs w:val="32"/>
        </w:rPr>
        <w:t>提升环境监测监控能力。</w:t>
      </w:r>
      <w:r>
        <w:rPr>
          <w:rFonts w:hint="eastAsia" w:ascii="仿宋" w:hAnsi="仿宋" w:eastAsia="仿宋"/>
          <w:sz w:val="32"/>
          <w:szCs w:val="32"/>
        </w:rPr>
        <w:t>逐步增加监测站现有监测网络的覆盖范围、指标项目，提高环境监测装备现代化水平。加快建成覆盖花都区等主要区域的环境智能感知体系，实现对大气、水、生态、核与辐射等环境要素及污染源的全面感知和实时监控。</w:t>
      </w:r>
    </w:p>
    <w:p w14:paraId="0545C314">
      <w:pPr>
        <w:snapToGrid w:val="0"/>
        <w:spacing w:line="560" w:lineRule="atLeast"/>
        <w:ind w:firstLine="643" w:firstLineChars="200"/>
        <w:rPr>
          <w:rFonts w:hint="eastAsia"/>
        </w:rPr>
      </w:pPr>
      <w:r>
        <w:rPr>
          <w:rFonts w:hint="eastAsia" w:ascii="仿宋" w:hAnsi="仿宋" w:eastAsia="仿宋"/>
          <w:b/>
          <w:sz w:val="32"/>
          <w:szCs w:val="32"/>
        </w:rPr>
        <w:t>提升环境执法能力。</w:t>
      </w:r>
      <w:r>
        <w:rPr>
          <w:rFonts w:hint="eastAsia" w:ascii="仿宋" w:hAnsi="仿宋" w:eastAsia="仿宋"/>
          <w:sz w:val="32"/>
          <w:szCs w:val="32"/>
        </w:rPr>
        <w:t>推行非现场监管方式，拓展非现场监管的手段及应用，充分运用移动执法、自动监控、无人机巡查、走航调查监测等科技监察手段，实时监控、实时留痕，提升监控预警能力和科学办案水平。</w:t>
      </w:r>
    </w:p>
    <w:p w14:paraId="589FEB36">
      <w:pPr>
        <w:pStyle w:val="2"/>
        <w:tabs>
          <w:tab w:val="left" w:pos="0"/>
          <w:tab w:val="center" w:pos="4363"/>
          <w:tab w:val="right" w:pos="8306"/>
        </w:tabs>
        <w:spacing w:before="624" w:beforeLines="200" w:after="312" w:afterLines="100" w:line="579" w:lineRule="exact"/>
        <w:ind w:left="420" w:leftChars="200"/>
        <w:jc w:val="center"/>
        <w:rPr>
          <w:rFonts w:ascii="Times New Roman" w:hAnsi="Times New Roman" w:eastAsia="黑体" w:cs="Times New Roman"/>
          <w:bCs/>
          <w:color w:val="auto"/>
          <w:sz w:val="32"/>
          <w:szCs w:val="32"/>
        </w:rPr>
      </w:pPr>
      <w:bookmarkStart w:id="53" w:name="_Toc240879655"/>
      <w:r>
        <w:rPr>
          <w:rFonts w:hint="eastAsia" w:ascii="Times New Roman" w:hAnsi="Times New Roman" w:eastAsia="黑体" w:cs="Times New Roman"/>
          <w:bCs/>
          <w:color w:val="auto"/>
          <w:sz w:val="32"/>
          <w:szCs w:val="32"/>
        </w:rPr>
        <w:t>第八章 立体推进美丽花都建设</w:t>
      </w:r>
      <w:bookmarkEnd w:id="53"/>
    </w:p>
    <w:p w14:paraId="774BF3CC">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kern w:val="44"/>
          <w:sz w:val="32"/>
          <w:szCs w:val="44"/>
        </w:rPr>
      </w:pPr>
      <w:bookmarkStart w:id="54" w:name="_Toc240879656"/>
      <w:bookmarkStart w:id="55" w:name="_Toc231586131"/>
      <w:r>
        <w:rPr>
          <w:rFonts w:hint="eastAsia" w:ascii="Times New Roman" w:hAnsi="Times New Roman" w:eastAsia="楷体" w:cs="Times New Roman"/>
          <w:bCs/>
          <w:color w:val="auto"/>
          <w:kern w:val="44"/>
          <w:sz w:val="32"/>
          <w:szCs w:val="44"/>
        </w:rPr>
        <w:t>第一节 系统推进美丽单元建设</w:t>
      </w:r>
      <w:bookmarkEnd w:id="54"/>
      <w:bookmarkEnd w:id="55"/>
    </w:p>
    <w:p w14:paraId="37D4D9FD">
      <w:pPr>
        <w:spacing w:after="120"/>
        <w:ind w:firstLine="643" w:firstLineChars="200"/>
        <w:rPr>
          <w:rFonts w:hint="eastAsia" w:ascii="仿宋" w:hAnsi="仿宋" w:eastAsia="仿宋" w:cs="Times New Roman"/>
          <w:sz w:val="32"/>
          <w:szCs w:val="32"/>
        </w:rPr>
      </w:pPr>
      <w:r>
        <w:rPr>
          <w:rFonts w:ascii="仿宋" w:hAnsi="仿宋" w:eastAsia="仿宋" w:cs="Times New Roman"/>
          <w:b/>
          <w:bCs/>
          <w:sz w:val="32"/>
          <w:szCs w:val="32"/>
        </w:rPr>
        <w:t>有序推动美丽单元建设。</w:t>
      </w:r>
      <w:r>
        <w:rPr>
          <w:rFonts w:ascii="仿宋" w:hAnsi="仿宋" w:eastAsia="仿宋" w:cs="Times New Roman"/>
          <w:sz w:val="32"/>
          <w:szCs w:val="32"/>
        </w:rPr>
        <w:t>全面开展赤坭镇美丽单元、西部汽车城美丽单元、狮岭镇美丽单元、临空数智港美丽单元、花都北部文旅生态湾美丽单元、花都空铁融合美丽单元、空港经济美丽单元（花都）</w:t>
      </w:r>
      <w:r>
        <w:rPr>
          <w:rFonts w:hint="eastAsia" w:ascii="仿宋" w:hAnsi="仿宋" w:eastAsia="仿宋" w:cs="Times New Roman"/>
          <w:sz w:val="32"/>
          <w:szCs w:val="32"/>
        </w:rPr>
        <w:t>的建设</w:t>
      </w:r>
      <w:r>
        <w:rPr>
          <w:rFonts w:ascii="仿宋" w:hAnsi="仿宋" w:eastAsia="仿宋" w:cs="Times New Roman"/>
          <w:sz w:val="32"/>
          <w:szCs w:val="32"/>
        </w:rPr>
        <w:t>基础评估和系统摸排。</w:t>
      </w:r>
      <w:r>
        <w:rPr>
          <w:rFonts w:hint="eastAsia" w:ascii="仿宋" w:hAnsi="仿宋" w:eastAsia="仿宋" w:cs="Times New Roman"/>
          <w:sz w:val="32"/>
          <w:szCs w:val="32"/>
        </w:rPr>
        <w:t>制定</w:t>
      </w:r>
      <w:r>
        <w:rPr>
          <w:rFonts w:ascii="仿宋" w:hAnsi="仿宋" w:eastAsia="仿宋" w:cs="Times New Roman"/>
          <w:sz w:val="32"/>
          <w:szCs w:val="32"/>
        </w:rPr>
        <w:t>美丽单元建设</w:t>
      </w:r>
      <w:r>
        <w:rPr>
          <w:rFonts w:hint="eastAsia" w:ascii="仿宋" w:hAnsi="仿宋" w:eastAsia="仿宋" w:cs="Times New Roman"/>
          <w:sz w:val="32"/>
          <w:szCs w:val="32"/>
        </w:rPr>
        <w:t>计划</w:t>
      </w:r>
      <w:r>
        <w:rPr>
          <w:rFonts w:ascii="仿宋" w:hAnsi="仿宋" w:eastAsia="仿宋" w:cs="Times New Roman"/>
          <w:sz w:val="32"/>
          <w:szCs w:val="32"/>
        </w:rPr>
        <w:t>，梯次推进美丽单元建设。定期开展美丽单元建设进程评估，加大对美丽单元建设成果宣传推广力度。</w:t>
      </w:r>
    </w:p>
    <w:p w14:paraId="7BBB8291">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kern w:val="44"/>
          <w:sz w:val="32"/>
          <w:szCs w:val="44"/>
        </w:rPr>
      </w:pPr>
      <w:bookmarkStart w:id="56" w:name="_Toc240879657"/>
      <w:bookmarkStart w:id="57" w:name="_Toc231586132"/>
      <w:r>
        <w:rPr>
          <w:rFonts w:hint="eastAsia" w:ascii="Times New Roman" w:hAnsi="Times New Roman" w:eastAsia="楷体" w:cs="Times New Roman"/>
          <w:bCs/>
          <w:color w:val="auto"/>
          <w:kern w:val="44"/>
          <w:sz w:val="32"/>
          <w:szCs w:val="44"/>
        </w:rPr>
        <w:t>第二节 积极培育多样美丽细胞</w:t>
      </w:r>
      <w:bookmarkEnd w:id="56"/>
      <w:bookmarkEnd w:id="57"/>
    </w:p>
    <w:p w14:paraId="638CF5B3">
      <w:pPr>
        <w:spacing w:line="560" w:lineRule="exact"/>
        <w:ind w:firstLine="643" w:firstLineChars="200"/>
        <w:rPr>
          <w:rFonts w:hint="eastAsia" w:ascii="仿宋" w:hAnsi="仿宋" w:eastAsia="仿宋" w:cs="Times New Roman"/>
          <w:bCs/>
          <w:sz w:val="32"/>
          <w:szCs w:val="32"/>
        </w:rPr>
      </w:pPr>
      <w:r>
        <w:rPr>
          <w:rFonts w:ascii="仿宋" w:hAnsi="仿宋" w:eastAsia="仿宋" w:cs="Times New Roman"/>
          <w:b/>
          <w:sz w:val="32"/>
          <w:szCs w:val="32"/>
        </w:rPr>
        <w:t>建设岭南风情美丽乡村。</w:t>
      </w:r>
      <w:r>
        <w:rPr>
          <w:rFonts w:ascii="仿宋" w:hAnsi="仿宋" w:eastAsia="仿宋" w:cs="Times New Roman"/>
          <w:bCs/>
          <w:sz w:val="32"/>
          <w:szCs w:val="32"/>
        </w:rPr>
        <w:t>整区推进美丽乡村建设</w:t>
      </w:r>
      <w:r>
        <w:rPr>
          <w:rFonts w:hint="eastAsia" w:ascii="仿宋" w:hAnsi="仿宋" w:eastAsia="仿宋" w:cs="Times New Roman"/>
          <w:bCs/>
          <w:sz w:val="32"/>
          <w:szCs w:val="32"/>
        </w:rPr>
        <w:t>，</w:t>
      </w:r>
      <w:r>
        <w:rPr>
          <w:rFonts w:ascii="仿宋" w:hAnsi="仿宋" w:eastAsia="仿宋" w:cs="Times New Roman"/>
          <w:bCs/>
          <w:sz w:val="32"/>
          <w:szCs w:val="32"/>
        </w:rPr>
        <w:t>着力提升村庄生态环境质量。</w:t>
      </w:r>
      <w:r>
        <w:rPr>
          <w:rFonts w:hint="eastAsia" w:ascii="仿宋" w:hAnsi="仿宋" w:eastAsia="仿宋" w:cs="Times New Roman"/>
          <w:bCs/>
          <w:sz w:val="32"/>
          <w:szCs w:val="32"/>
        </w:rPr>
        <w:t>巩固农村厕所、垃圾、污水“三大革命”成果，强化农房建设全过程管理，</w:t>
      </w:r>
      <w:r>
        <w:rPr>
          <w:rFonts w:ascii="仿宋" w:hAnsi="仿宋" w:eastAsia="仿宋" w:cs="Times New Roman"/>
          <w:bCs/>
          <w:sz w:val="32"/>
          <w:szCs w:val="32"/>
        </w:rPr>
        <w:t>提升乡村风貌和人居环境</w:t>
      </w:r>
      <w:r>
        <w:rPr>
          <w:rFonts w:hint="eastAsia" w:ascii="仿宋" w:hAnsi="仿宋" w:eastAsia="仿宋" w:cs="Times New Roman"/>
          <w:bCs/>
          <w:sz w:val="32"/>
          <w:szCs w:val="32"/>
        </w:rPr>
        <w:t>。</w:t>
      </w:r>
      <w:r>
        <w:rPr>
          <w:rFonts w:ascii="仿宋" w:hAnsi="仿宋" w:eastAsia="仿宋" w:cs="Times New Roman"/>
          <w:bCs/>
          <w:sz w:val="32"/>
          <w:szCs w:val="32"/>
        </w:rPr>
        <w:t>系统推进镇村片区组团发展</w:t>
      </w:r>
      <w:r>
        <w:rPr>
          <w:rFonts w:hint="eastAsia" w:ascii="仿宋" w:hAnsi="仿宋" w:eastAsia="仿宋" w:cs="Times New Roman"/>
          <w:bCs/>
          <w:sz w:val="32"/>
          <w:szCs w:val="32"/>
        </w:rPr>
        <w:t>，提质升级“花漾年华”“乡约古韵”“水墨丹青”等乡村振兴带。</w:t>
      </w:r>
    </w:p>
    <w:p w14:paraId="31BACC23">
      <w:pPr>
        <w:spacing w:line="560" w:lineRule="exact"/>
        <w:ind w:firstLine="643" w:firstLineChars="200"/>
        <w:rPr>
          <w:rFonts w:hint="eastAsia" w:ascii="仿宋" w:hAnsi="仿宋" w:eastAsia="仿宋" w:cs="Times New Roman"/>
          <w:bCs/>
          <w:sz w:val="32"/>
          <w:szCs w:val="32"/>
        </w:rPr>
      </w:pPr>
      <w:r>
        <w:rPr>
          <w:rFonts w:ascii="仿宋" w:hAnsi="仿宋" w:eastAsia="仿宋" w:cs="Times New Roman"/>
          <w:b/>
          <w:sz w:val="32"/>
          <w:szCs w:val="32"/>
        </w:rPr>
        <w:t>建设岭南特色生态社区。</w:t>
      </w:r>
      <w:r>
        <w:rPr>
          <w:rFonts w:hint="eastAsia" w:ascii="仿宋" w:hAnsi="仿宋" w:eastAsia="仿宋" w:cs="Times New Roman"/>
          <w:bCs/>
          <w:sz w:val="32"/>
          <w:szCs w:val="32"/>
        </w:rPr>
        <w:t>结合城市更新、老旧小区改造、原拆原建等相关政策推动解决人民关切的生态环境问题</w:t>
      </w:r>
      <w:r>
        <w:rPr>
          <w:rFonts w:ascii="仿宋" w:hAnsi="仿宋" w:eastAsia="仿宋" w:cs="Times New Roman"/>
          <w:bCs/>
          <w:sz w:val="32"/>
          <w:szCs w:val="32"/>
        </w:rPr>
        <w:t>，</w:t>
      </w:r>
      <w:r>
        <w:rPr>
          <w:rFonts w:ascii="仿宋" w:hAnsi="仿宋" w:eastAsia="仿宋" w:cs="Times New Roman"/>
          <w:sz w:val="32"/>
          <w:szCs w:val="32"/>
        </w:rPr>
        <w:t>推进生态社区建设。</w:t>
      </w:r>
      <w:r>
        <w:rPr>
          <w:rFonts w:ascii="仿宋" w:hAnsi="仿宋" w:eastAsia="仿宋" w:cs="Times New Roman"/>
          <w:bCs/>
          <w:sz w:val="32"/>
          <w:szCs w:val="32"/>
        </w:rPr>
        <w:t>合理规划和建设各类社区绿地，升级改造社区微生态空间，持续推进小微公共空间整治提升，积极优化十五分钟生活圈要素配置和空间布局。保护传承岭南特色传统建筑，积极营造精致特色空间。</w:t>
      </w:r>
    </w:p>
    <w:p w14:paraId="66363B12">
      <w:pPr>
        <w:spacing w:line="560" w:lineRule="exact"/>
        <w:ind w:firstLine="643" w:firstLineChars="200"/>
        <w:rPr>
          <w:rFonts w:hint="eastAsia" w:ascii="仿宋" w:hAnsi="仿宋" w:eastAsia="仿宋" w:cs="Times New Roman"/>
          <w:bCs/>
          <w:color w:val="000000" w:themeColor="text1"/>
          <w:sz w:val="32"/>
          <w:szCs w:val="32"/>
          <w14:textFill>
            <w14:solidFill>
              <w14:schemeClr w14:val="tx1"/>
            </w14:solidFill>
          </w14:textFill>
        </w:rPr>
      </w:pPr>
      <w:r>
        <w:rPr>
          <w:rFonts w:ascii="仿宋" w:hAnsi="仿宋" w:eastAsia="仿宋" w:cs="Times New Roman"/>
          <w:b/>
          <w:color w:val="000000" w:themeColor="text1"/>
          <w:sz w:val="32"/>
          <w:szCs w:val="32"/>
          <w14:textFill>
            <w14:solidFill>
              <w14:schemeClr w14:val="tx1"/>
            </w14:solidFill>
          </w14:textFill>
        </w:rPr>
        <w:t>建设岭南水乡美丽河湖</w:t>
      </w:r>
      <w:r>
        <w:rPr>
          <w:rFonts w:ascii="仿宋" w:hAnsi="仿宋" w:eastAsia="仿宋" w:cs="Times New Roman"/>
          <w:bCs/>
          <w:color w:val="000000" w:themeColor="text1"/>
          <w:sz w:val="32"/>
          <w:szCs w:val="32"/>
          <w14:textFill>
            <w14:solidFill>
              <w14:schemeClr w14:val="tx1"/>
            </w14:solidFill>
          </w14:textFill>
        </w:rPr>
        <w:t>。</w:t>
      </w:r>
      <w:r>
        <w:rPr>
          <w:rFonts w:hint="eastAsia" w:ascii="仿宋" w:hAnsi="仿宋" w:eastAsia="仿宋" w:cs="Times New Roman"/>
          <w:bCs/>
          <w:color w:val="000000" w:themeColor="text1"/>
          <w:sz w:val="32"/>
          <w:szCs w:val="32"/>
          <w14:textFill>
            <w14:solidFill>
              <w14:schemeClr w14:val="tx1"/>
            </w14:solidFill>
          </w14:textFill>
        </w:rPr>
        <w:t>以河湖水生态保护与修复、滨水生态环境建设为核心，</w:t>
      </w:r>
      <w:r>
        <w:rPr>
          <w:rFonts w:hint="eastAsia" w:ascii="仿宋" w:hAnsi="仿宋" w:eastAsia="仿宋" w:cs="Times New Roman"/>
          <w:color w:val="000000" w:themeColor="text1"/>
          <w:sz w:val="32"/>
          <w:szCs w:val="32"/>
          <w14:textFill>
            <w14:solidFill>
              <w14:schemeClr w14:val="tx1"/>
            </w14:solidFill>
          </w14:textFill>
        </w:rPr>
        <w:t>结合</w:t>
      </w:r>
      <w:r>
        <w:rPr>
          <w:rFonts w:hint="eastAsia" w:ascii="仿宋" w:hAnsi="仿宋" w:eastAsia="仿宋" w:cs="Times New Roman"/>
          <w:bCs/>
          <w:color w:val="000000" w:themeColor="text1"/>
          <w:sz w:val="32"/>
          <w:szCs w:val="32"/>
          <w14:textFill>
            <w14:solidFill>
              <w14:schemeClr w14:val="tx1"/>
            </w14:solidFill>
          </w14:textFill>
        </w:rPr>
        <w:t>流溪河、白坭河等流域综合治理，有序推进各级美丽河湖建设，</w:t>
      </w:r>
      <w:r>
        <w:rPr>
          <w:rFonts w:hint="eastAsia" w:ascii="仿宋" w:hAnsi="仿宋" w:eastAsia="仿宋" w:cs="仿宋_GB2312"/>
          <w:color w:val="000000" w:themeColor="text1"/>
          <w:sz w:val="32"/>
          <w:szCs w:val="20"/>
          <w14:textFill>
            <w14:solidFill>
              <w14:schemeClr w14:val="tx1"/>
            </w14:solidFill>
          </w14:textFill>
        </w:rPr>
        <w:t>巩固提升</w:t>
      </w:r>
      <w:r>
        <w:rPr>
          <w:rFonts w:hint="eastAsia" w:ascii="仿宋" w:hAnsi="仿宋" w:eastAsia="仿宋" w:cs="Times New Roman"/>
          <w:color w:val="000000" w:themeColor="text1"/>
          <w:sz w:val="32"/>
          <w:szCs w:val="32"/>
          <w14:textFill>
            <w14:solidFill>
              <w14:schemeClr w14:val="tx1"/>
            </w14:solidFill>
          </w14:textFill>
        </w:rPr>
        <w:t>花都湖、九湾潭水库、秀全湖等美丽河湖</w:t>
      </w:r>
      <w:r>
        <w:rPr>
          <w:rFonts w:hint="eastAsia" w:ascii="仿宋" w:hAnsi="仿宋" w:eastAsia="仿宋" w:cs="仿宋_GB2312"/>
          <w:color w:val="000000" w:themeColor="text1"/>
          <w:sz w:val="32"/>
          <w:szCs w:val="20"/>
          <w14:textFill>
            <w14:solidFill>
              <w14:schemeClr w14:val="tx1"/>
            </w14:solidFill>
          </w14:textFill>
        </w:rPr>
        <w:t>品牌</w:t>
      </w:r>
      <w:r>
        <w:rPr>
          <w:rFonts w:hint="eastAsia" w:ascii="仿宋" w:hAnsi="仿宋" w:eastAsia="仿宋" w:cs="Times New Roman"/>
          <w:bCs/>
          <w:color w:val="000000" w:themeColor="text1"/>
          <w:sz w:val="32"/>
          <w:szCs w:val="32"/>
          <w14:textFill>
            <w14:solidFill>
              <w14:schemeClr w14:val="tx1"/>
            </w14:solidFill>
          </w14:textFill>
        </w:rPr>
        <w:t>。</w:t>
      </w:r>
    </w:p>
    <w:p w14:paraId="1110A2DB">
      <w:pPr>
        <w:spacing w:line="560" w:lineRule="exact"/>
        <w:ind w:firstLine="643" w:firstLineChars="200"/>
        <w:rPr>
          <w:rFonts w:hint="eastAsia" w:ascii="仿宋" w:hAnsi="仿宋" w:eastAsia="仿宋" w:cs="Times New Roman"/>
          <w:bCs/>
          <w:sz w:val="32"/>
          <w:szCs w:val="32"/>
        </w:rPr>
      </w:pPr>
      <w:r>
        <w:rPr>
          <w:rFonts w:ascii="仿宋" w:hAnsi="仿宋" w:eastAsia="仿宋" w:cs="Times New Roman"/>
          <w:b/>
          <w:sz w:val="32"/>
          <w:szCs w:val="32"/>
        </w:rPr>
        <w:t>建设绿色智造美丽园区</w:t>
      </w:r>
      <w:r>
        <w:rPr>
          <w:rFonts w:ascii="仿宋" w:hAnsi="仿宋" w:eastAsia="仿宋" w:cs="Times New Roman"/>
          <w:bCs/>
          <w:sz w:val="32"/>
          <w:szCs w:val="32"/>
        </w:rPr>
        <w:t>。持续推进村镇工业集聚区升级改造，加快推动园区产业成群成链发展。谋划建设一批绿色低碳、集约循环、智慧高效、产城和谐的美丽园区。</w:t>
      </w:r>
    </w:p>
    <w:p w14:paraId="4B2389BB">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kern w:val="44"/>
          <w:sz w:val="32"/>
          <w:szCs w:val="44"/>
        </w:rPr>
      </w:pPr>
      <w:bookmarkStart w:id="58" w:name="_Toc231586033"/>
      <w:bookmarkEnd w:id="58"/>
      <w:bookmarkStart w:id="59" w:name="_Toc231586133"/>
      <w:bookmarkEnd w:id="59"/>
      <w:bookmarkStart w:id="60" w:name="_Toc219449597"/>
      <w:bookmarkEnd w:id="60"/>
      <w:bookmarkStart w:id="61" w:name="_Toc240879658"/>
      <w:bookmarkStart w:id="62" w:name="_Toc231586134"/>
      <w:r>
        <w:rPr>
          <w:rFonts w:hint="eastAsia" w:ascii="Times New Roman" w:hAnsi="Times New Roman" w:eastAsia="楷体" w:cs="Times New Roman"/>
          <w:bCs/>
          <w:color w:val="auto"/>
          <w:kern w:val="44"/>
          <w:sz w:val="32"/>
          <w:szCs w:val="44"/>
        </w:rPr>
        <w:t>第三节 统筹谋划各类美丽工程</w:t>
      </w:r>
      <w:bookmarkEnd w:id="61"/>
      <w:bookmarkEnd w:id="62"/>
    </w:p>
    <w:p w14:paraId="2D67A154">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结合花都区各美丽单元建设方案，</w:t>
      </w:r>
      <w:r>
        <w:rPr>
          <w:rFonts w:ascii="仿宋" w:hAnsi="仿宋" w:eastAsia="仿宋" w:cs="Times New Roman"/>
          <w:sz w:val="32"/>
          <w:szCs w:val="32"/>
        </w:rPr>
        <w:t>搭建美丽花都建设重大工程项目库。持续推动美丽花都建设项目纳入上级美丽建设重大工程项目库，以及超长期特别国债、政府专项债、中央预算内资金、政策性金融工具、省市重大项目前期经费等政策性资金申报范围及绿色金融产品支持范围。</w:t>
      </w:r>
    </w:p>
    <w:p w14:paraId="1C7D1354">
      <w:pPr>
        <w:snapToGrid w:val="0"/>
        <w:spacing w:line="560" w:lineRule="atLeast"/>
        <w:jc w:val="center"/>
        <w:outlineLvl w:val="0"/>
        <w:rPr>
          <w:rFonts w:ascii="Times New Roman" w:hAnsi="Times New Roman" w:eastAsia="黑体" w:cs="Times New Roman"/>
          <w:bCs/>
          <w:sz w:val="32"/>
          <w:szCs w:val="32"/>
        </w:rPr>
      </w:pPr>
      <w:bookmarkStart w:id="63" w:name="_Toc240879659"/>
      <w:r>
        <w:rPr>
          <w:rFonts w:hint="eastAsia" w:ascii="Times New Roman" w:hAnsi="Times New Roman" w:eastAsia="黑体" w:cs="Times New Roman"/>
          <w:bCs/>
          <w:sz w:val="32"/>
          <w:szCs w:val="32"/>
        </w:rPr>
        <w:t>第九章 实施保障</w:t>
      </w:r>
      <w:bookmarkEnd w:id="63"/>
    </w:p>
    <w:p w14:paraId="055B326B">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64" w:name="_Toc240879660"/>
      <w:r>
        <w:rPr>
          <w:rFonts w:hint="eastAsia" w:ascii="Times New Roman" w:hAnsi="Times New Roman" w:eastAsia="楷体" w:cs="Times New Roman"/>
          <w:bCs/>
          <w:color w:val="auto"/>
          <w:kern w:val="44"/>
          <w:sz w:val="32"/>
          <w:szCs w:val="44"/>
        </w:rPr>
        <w:t>第一节 加强组织实施</w:t>
      </w:r>
      <w:bookmarkEnd w:id="64"/>
    </w:p>
    <w:p w14:paraId="16A9EF7E">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强化规划实施统筹协调，充分发挥生态环境保护协调机制作用，分解目标任务、建立推进机制、开展评估总结。</w:t>
      </w:r>
      <w:r>
        <w:rPr>
          <w:rFonts w:ascii="仿宋" w:hAnsi="仿宋" w:eastAsia="仿宋" w:cs="Times New Roman"/>
          <w:sz w:val="32"/>
          <w:szCs w:val="32"/>
        </w:rPr>
        <w:t>建立各部门</w:t>
      </w:r>
      <w:r>
        <w:rPr>
          <w:rFonts w:hint="eastAsia" w:ascii="仿宋" w:hAnsi="仿宋" w:eastAsia="仿宋" w:cs="Times New Roman"/>
          <w:sz w:val="32"/>
          <w:szCs w:val="32"/>
        </w:rPr>
        <w:t>、街镇</w:t>
      </w:r>
      <w:r>
        <w:rPr>
          <w:rFonts w:ascii="仿宋" w:hAnsi="仿宋" w:eastAsia="仿宋" w:cs="Times New Roman"/>
          <w:sz w:val="32"/>
          <w:szCs w:val="32"/>
        </w:rPr>
        <w:t>之间的沟通协调机制，</w:t>
      </w:r>
      <w:r>
        <w:rPr>
          <w:rFonts w:hint="eastAsia" w:ascii="仿宋" w:hAnsi="仿宋" w:eastAsia="仿宋" w:cs="Times New Roman"/>
          <w:sz w:val="32"/>
          <w:szCs w:val="32"/>
        </w:rPr>
        <w:t>及时</w:t>
      </w:r>
      <w:r>
        <w:rPr>
          <w:rFonts w:ascii="仿宋" w:hAnsi="仿宋" w:eastAsia="仿宋" w:cs="Times New Roman"/>
          <w:sz w:val="32"/>
          <w:szCs w:val="32"/>
        </w:rPr>
        <w:t>研究解决推进规划实施过程中遇到的重大问题</w:t>
      </w:r>
      <w:r>
        <w:rPr>
          <w:rFonts w:hint="eastAsia" w:ascii="仿宋" w:hAnsi="仿宋" w:eastAsia="仿宋" w:cs="Times New Roman"/>
          <w:sz w:val="32"/>
          <w:szCs w:val="32"/>
        </w:rPr>
        <w:t>。</w:t>
      </w:r>
    </w:p>
    <w:p w14:paraId="373F946A">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65" w:name="_Toc240879661"/>
      <w:r>
        <w:rPr>
          <w:rFonts w:hint="eastAsia" w:ascii="Times New Roman" w:hAnsi="Times New Roman" w:eastAsia="楷体" w:cs="Times New Roman"/>
          <w:bCs/>
          <w:color w:val="auto"/>
          <w:kern w:val="44"/>
          <w:sz w:val="32"/>
          <w:szCs w:val="44"/>
        </w:rPr>
        <w:t>第二节 落实资金保障</w:t>
      </w:r>
      <w:bookmarkEnd w:id="65"/>
    </w:p>
    <w:p w14:paraId="1D2D7C14">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做好公共财政资金保障，将生态环境保护列为公共财政支出重点，强化环境污染治理、生态系统保护、环境基础能力建设等重点工作的支持力度，积极争取上级资金支持。加强资金监管，提高财政资金的使用效率。将本规划的期中、期末评估费用以及规划科学调整等费用纳入部门年度预算。</w:t>
      </w:r>
    </w:p>
    <w:p w14:paraId="56EDF253">
      <w:pPr>
        <w:pStyle w:val="3"/>
        <w:keepNext w:val="0"/>
        <w:keepLines w:val="0"/>
        <w:widowControl/>
        <w:tabs>
          <w:tab w:val="left" w:pos="0"/>
        </w:tabs>
        <w:spacing w:before="312" w:beforeLines="100" w:after="312" w:afterLines="100" w:line="579" w:lineRule="exact"/>
        <w:ind w:left="420" w:leftChars="200"/>
        <w:jc w:val="center"/>
        <w:rPr>
          <w:rFonts w:ascii="Times New Roman" w:hAnsi="Times New Roman" w:eastAsia="楷体" w:cs="Times New Roman"/>
          <w:bCs/>
          <w:color w:val="auto"/>
          <w:kern w:val="44"/>
          <w:sz w:val="32"/>
          <w:szCs w:val="44"/>
        </w:rPr>
      </w:pPr>
      <w:bookmarkStart w:id="66" w:name="_Toc240879662"/>
      <w:r>
        <w:rPr>
          <w:rFonts w:hint="eastAsia" w:ascii="Times New Roman" w:hAnsi="Times New Roman" w:eastAsia="楷体" w:cs="Times New Roman"/>
          <w:bCs/>
          <w:color w:val="auto"/>
          <w:kern w:val="44"/>
          <w:sz w:val="32"/>
          <w:szCs w:val="44"/>
        </w:rPr>
        <w:t>第三节 强化实施评估</w:t>
      </w:r>
      <w:bookmarkEnd w:id="66"/>
    </w:p>
    <w:p w14:paraId="625F92EF">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强化规划实施情况的监测评估和监督管理，适时组织开展本规划中期和终期评估，推动年度分解的各项任务、目标、重点项目落地实施，按程序及时优化调整规划目标指标和重点任务。</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等线 Light">
    <w:altName w:val="汉仪中圆B5"/>
    <w:panose1 w:val="02010600030101010101"/>
    <w:charset w:val="86"/>
    <w:family w:val="auto"/>
    <w:pitch w:val="default"/>
    <w:sig w:usb0="00000000" w:usb1="00000000" w:usb2="00000016" w:usb3="00000000" w:csb0="0004000F" w:csb1="00000000"/>
  </w:font>
  <w:font w:name="汉仪中圆B5">
    <w:panose1 w:val="02010600000101010101"/>
    <w:charset w:val="88"/>
    <w:family w:val="auto"/>
    <w:pitch w:val="default"/>
    <w:sig w:usb0="00000001" w:usb1="080E0800" w:usb2="00000002" w:usb3="00000000" w:csb0="0010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Noto Sans CJK SC"/>
    <w:panose1 w:val="00000000000000000000"/>
    <w:charset w:val="00"/>
    <w:family w:val="auto"/>
    <w:pitch w:val="default"/>
    <w:sig w:usb0="00000000" w:usb1="00000000" w:usb2="00000000" w:usb3="00000000" w:csb0="00000000" w:csb1="00000000"/>
  </w:font>
  <w:font w:name="等线 Light">
    <w:altName w:val="Quicksand Light"/>
    <w:panose1 w:val="00000000000000000000"/>
    <w:charset w:val="00"/>
    <w:family w:val="auto"/>
    <w:pitch w:val="default"/>
    <w:sig w:usb0="00000000" w:usb1="00000000" w:usb2="00000000" w:usb3="00000000" w:csb0="00000000" w:csb1="00000000"/>
  </w:font>
  <w:font w:name="Quicksand Light">
    <w:panose1 w:val="00000400000000000000"/>
    <w:charset w:val="00"/>
    <w:family w:val="auto"/>
    <w:pitch w:val="default"/>
    <w:sig w:usb0="2000000F" w:usb1="00000001" w:usb2="00000000" w:usb3="00000000" w:csb0="20000193"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2755311"/>
    </w:sdtPr>
    <w:sdtContent>
      <w:p w14:paraId="3EE4C7B1">
        <w:pPr>
          <w:pStyle w:val="14"/>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3DFF180">
    <w:pPr>
      <w:pStyle w:val="14"/>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A2369"/>
    <w:multiLevelType w:val="multilevel"/>
    <w:tmpl w:val="054A2369"/>
    <w:lvl w:ilvl="0" w:tentative="0">
      <w:start w:val="1"/>
      <w:numFmt w:val="decimal"/>
      <w:suff w:val="nothing"/>
      <w:lvlText w:val="%1"/>
      <w:lvlJc w:val="center"/>
      <w:pPr>
        <w:ind w:left="0" w:firstLine="0"/>
      </w:pPr>
      <w:rPr>
        <w:rFonts w:hint="default" w:ascii="Times New Roman" w:hAnsi="Times New Roman"/>
        <w:sz w:val="24"/>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25B"/>
    <w:rsid w:val="000101CE"/>
    <w:rsid w:val="000304C1"/>
    <w:rsid w:val="00030FAB"/>
    <w:rsid w:val="00032BC0"/>
    <w:rsid w:val="00032D7B"/>
    <w:rsid w:val="00033CD7"/>
    <w:rsid w:val="00034BD2"/>
    <w:rsid w:val="000401BC"/>
    <w:rsid w:val="000443B7"/>
    <w:rsid w:val="00052956"/>
    <w:rsid w:val="00071543"/>
    <w:rsid w:val="00072388"/>
    <w:rsid w:val="0007525F"/>
    <w:rsid w:val="00077447"/>
    <w:rsid w:val="000774DA"/>
    <w:rsid w:val="000875CD"/>
    <w:rsid w:val="0009015D"/>
    <w:rsid w:val="00090AA3"/>
    <w:rsid w:val="000A593E"/>
    <w:rsid w:val="000B0FF4"/>
    <w:rsid w:val="000B27A1"/>
    <w:rsid w:val="000C77D2"/>
    <w:rsid w:val="000D1128"/>
    <w:rsid w:val="000D41E3"/>
    <w:rsid w:val="000E7F8F"/>
    <w:rsid w:val="000F04DE"/>
    <w:rsid w:val="000F38A7"/>
    <w:rsid w:val="000F73DC"/>
    <w:rsid w:val="001012E9"/>
    <w:rsid w:val="00101772"/>
    <w:rsid w:val="00105637"/>
    <w:rsid w:val="00107CC9"/>
    <w:rsid w:val="00110CD8"/>
    <w:rsid w:val="00112EEC"/>
    <w:rsid w:val="00113D5A"/>
    <w:rsid w:val="00113FCA"/>
    <w:rsid w:val="00130144"/>
    <w:rsid w:val="00140520"/>
    <w:rsid w:val="00141053"/>
    <w:rsid w:val="00146C7E"/>
    <w:rsid w:val="001503D4"/>
    <w:rsid w:val="001511FC"/>
    <w:rsid w:val="00151298"/>
    <w:rsid w:val="00171B9B"/>
    <w:rsid w:val="00193366"/>
    <w:rsid w:val="001940B0"/>
    <w:rsid w:val="00196D43"/>
    <w:rsid w:val="001A6C08"/>
    <w:rsid w:val="001B6C4C"/>
    <w:rsid w:val="001B6C94"/>
    <w:rsid w:val="001C22BB"/>
    <w:rsid w:val="001D2FBD"/>
    <w:rsid w:val="001F17B1"/>
    <w:rsid w:val="00205BA5"/>
    <w:rsid w:val="00207A33"/>
    <w:rsid w:val="0021478E"/>
    <w:rsid w:val="00226A89"/>
    <w:rsid w:val="0023329A"/>
    <w:rsid w:val="00233AA1"/>
    <w:rsid w:val="00235267"/>
    <w:rsid w:val="002362EA"/>
    <w:rsid w:val="00242F3A"/>
    <w:rsid w:val="00253C32"/>
    <w:rsid w:val="00256398"/>
    <w:rsid w:val="00263B1C"/>
    <w:rsid w:val="00266C2F"/>
    <w:rsid w:val="00270A46"/>
    <w:rsid w:val="00282836"/>
    <w:rsid w:val="00284A13"/>
    <w:rsid w:val="002911CD"/>
    <w:rsid w:val="002937A2"/>
    <w:rsid w:val="0029762C"/>
    <w:rsid w:val="002B07F7"/>
    <w:rsid w:val="002B0FE5"/>
    <w:rsid w:val="002B3CC9"/>
    <w:rsid w:val="002B4C51"/>
    <w:rsid w:val="002C2B4F"/>
    <w:rsid w:val="002C5F6B"/>
    <w:rsid w:val="002D6E63"/>
    <w:rsid w:val="002F7789"/>
    <w:rsid w:val="00305014"/>
    <w:rsid w:val="00305101"/>
    <w:rsid w:val="00310405"/>
    <w:rsid w:val="00313062"/>
    <w:rsid w:val="00314282"/>
    <w:rsid w:val="00315283"/>
    <w:rsid w:val="00320D60"/>
    <w:rsid w:val="00320F43"/>
    <w:rsid w:val="003653B4"/>
    <w:rsid w:val="00365C59"/>
    <w:rsid w:val="00365ECE"/>
    <w:rsid w:val="00374AE8"/>
    <w:rsid w:val="00380F16"/>
    <w:rsid w:val="00381F65"/>
    <w:rsid w:val="003830A5"/>
    <w:rsid w:val="003A04A3"/>
    <w:rsid w:val="003A5A33"/>
    <w:rsid w:val="003B4B47"/>
    <w:rsid w:val="003B62BD"/>
    <w:rsid w:val="003C23D4"/>
    <w:rsid w:val="003D2CCE"/>
    <w:rsid w:val="003D63E0"/>
    <w:rsid w:val="003E54F9"/>
    <w:rsid w:val="003E60F4"/>
    <w:rsid w:val="004163F1"/>
    <w:rsid w:val="00430FCE"/>
    <w:rsid w:val="00437D2E"/>
    <w:rsid w:val="00441A3F"/>
    <w:rsid w:val="00446D0E"/>
    <w:rsid w:val="00447609"/>
    <w:rsid w:val="004531D4"/>
    <w:rsid w:val="00455272"/>
    <w:rsid w:val="00464A4D"/>
    <w:rsid w:val="00474115"/>
    <w:rsid w:val="00481953"/>
    <w:rsid w:val="00482B84"/>
    <w:rsid w:val="00483AA0"/>
    <w:rsid w:val="00485CBC"/>
    <w:rsid w:val="004871CA"/>
    <w:rsid w:val="004919A3"/>
    <w:rsid w:val="00495C81"/>
    <w:rsid w:val="004A34D5"/>
    <w:rsid w:val="004A735E"/>
    <w:rsid w:val="004B6563"/>
    <w:rsid w:val="004B7F73"/>
    <w:rsid w:val="004C095A"/>
    <w:rsid w:val="004D2389"/>
    <w:rsid w:val="004D2F28"/>
    <w:rsid w:val="004D6917"/>
    <w:rsid w:val="004D6AFF"/>
    <w:rsid w:val="004E2473"/>
    <w:rsid w:val="004E655F"/>
    <w:rsid w:val="004F4FC2"/>
    <w:rsid w:val="00504D95"/>
    <w:rsid w:val="0050719D"/>
    <w:rsid w:val="005155E4"/>
    <w:rsid w:val="00516235"/>
    <w:rsid w:val="00546F53"/>
    <w:rsid w:val="00546FAB"/>
    <w:rsid w:val="005529DF"/>
    <w:rsid w:val="00554F4B"/>
    <w:rsid w:val="005557B4"/>
    <w:rsid w:val="00560AB6"/>
    <w:rsid w:val="00565A70"/>
    <w:rsid w:val="005708E8"/>
    <w:rsid w:val="0057570B"/>
    <w:rsid w:val="005903E2"/>
    <w:rsid w:val="00591A0C"/>
    <w:rsid w:val="00591A1A"/>
    <w:rsid w:val="005A3EFF"/>
    <w:rsid w:val="005B1DCF"/>
    <w:rsid w:val="005B73D2"/>
    <w:rsid w:val="005B745C"/>
    <w:rsid w:val="005D45CA"/>
    <w:rsid w:val="005D5FDC"/>
    <w:rsid w:val="005E2E68"/>
    <w:rsid w:val="005F418D"/>
    <w:rsid w:val="005F6D37"/>
    <w:rsid w:val="00611E1E"/>
    <w:rsid w:val="0063498B"/>
    <w:rsid w:val="0063556A"/>
    <w:rsid w:val="00644E24"/>
    <w:rsid w:val="00663F31"/>
    <w:rsid w:val="006755CE"/>
    <w:rsid w:val="006764AD"/>
    <w:rsid w:val="0068113D"/>
    <w:rsid w:val="006A122B"/>
    <w:rsid w:val="006A2ED4"/>
    <w:rsid w:val="006B1D81"/>
    <w:rsid w:val="006B709E"/>
    <w:rsid w:val="006C6B3D"/>
    <w:rsid w:val="006D4EE3"/>
    <w:rsid w:val="0070525B"/>
    <w:rsid w:val="00706CB3"/>
    <w:rsid w:val="00707D42"/>
    <w:rsid w:val="00724BAC"/>
    <w:rsid w:val="00730300"/>
    <w:rsid w:val="00730EA0"/>
    <w:rsid w:val="00732F7B"/>
    <w:rsid w:val="00733260"/>
    <w:rsid w:val="00733EEB"/>
    <w:rsid w:val="00735E69"/>
    <w:rsid w:val="00740078"/>
    <w:rsid w:val="00742137"/>
    <w:rsid w:val="007468D0"/>
    <w:rsid w:val="00753769"/>
    <w:rsid w:val="00757BAC"/>
    <w:rsid w:val="00762179"/>
    <w:rsid w:val="007711A6"/>
    <w:rsid w:val="0077229E"/>
    <w:rsid w:val="00774203"/>
    <w:rsid w:val="007749DE"/>
    <w:rsid w:val="0078389A"/>
    <w:rsid w:val="00792688"/>
    <w:rsid w:val="00792C38"/>
    <w:rsid w:val="0079355E"/>
    <w:rsid w:val="00797D7F"/>
    <w:rsid w:val="007A0212"/>
    <w:rsid w:val="007A1EEF"/>
    <w:rsid w:val="007A2ED7"/>
    <w:rsid w:val="007B0BF9"/>
    <w:rsid w:val="007B1191"/>
    <w:rsid w:val="007C14D2"/>
    <w:rsid w:val="007C31E9"/>
    <w:rsid w:val="007D3C8E"/>
    <w:rsid w:val="007F40D5"/>
    <w:rsid w:val="00800408"/>
    <w:rsid w:val="008019BB"/>
    <w:rsid w:val="00805071"/>
    <w:rsid w:val="008053C3"/>
    <w:rsid w:val="0080738D"/>
    <w:rsid w:val="008101A8"/>
    <w:rsid w:val="00821EE5"/>
    <w:rsid w:val="00822588"/>
    <w:rsid w:val="00835383"/>
    <w:rsid w:val="00847AC0"/>
    <w:rsid w:val="0085246A"/>
    <w:rsid w:val="0086796A"/>
    <w:rsid w:val="008733F4"/>
    <w:rsid w:val="008979F9"/>
    <w:rsid w:val="008B3546"/>
    <w:rsid w:val="008B7821"/>
    <w:rsid w:val="008C08C0"/>
    <w:rsid w:val="008D1B3D"/>
    <w:rsid w:val="008D29AB"/>
    <w:rsid w:val="008E263D"/>
    <w:rsid w:val="008E781F"/>
    <w:rsid w:val="008F16F7"/>
    <w:rsid w:val="008F2557"/>
    <w:rsid w:val="008F5DBC"/>
    <w:rsid w:val="009009B8"/>
    <w:rsid w:val="00911501"/>
    <w:rsid w:val="009245DA"/>
    <w:rsid w:val="009277BF"/>
    <w:rsid w:val="00934AC7"/>
    <w:rsid w:val="0095534E"/>
    <w:rsid w:val="00955B94"/>
    <w:rsid w:val="00956FD7"/>
    <w:rsid w:val="00960401"/>
    <w:rsid w:val="009623AB"/>
    <w:rsid w:val="009666E4"/>
    <w:rsid w:val="00982661"/>
    <w:rsid w:val="00982C7D"/>
    <w:rsid w:val="009953C4"/>
    <w:rsid w:val="009A2021"/>
    <w:rsid w:val="009A73F8"/>
    <w:rsid w:val="009B159D"/>
    <w:rsid w:val="009C111D"/>
    <w:rsid w:val="009D06F6"/>
    <w:rsid w:val="009D2572"/>
    <w:rsid w:val="009D2B21"/>
    <w:rsid w:val="009D7F78"/>
    <w:rsid w:val="009E1432"/>
    <w:rsid w:val="009F21C4"/>
    <w:rsid w:val="009F3BFB"/>
    <w:rsid w:val="009F4DF7"/>
    <w:rsid w:val="00A03675"/>
    <w:rsid w:val="00A06488"/>
    <w:rsid w:val="00A11143"/>
    <w:rsid w:val="00A13C5A"/>
    <w:rsid w:val="00A22365"/>
    <w:rsid w:val="00A2590A"/>
    <w:rsid w:val="00A25AC3"/>
    <w:rsid w:val="00A30B8A"/>
    <w:rsid w:val="00A3768C"/>
    <w:rsid w:val="00A37ACF"/>
    <w:rsid w:val="00A47D22"/>
    <w:rsid w:val="00A5121F"/>
    <w:rsid w:val="00A54139"/>
    <w:rsid w:val="00A60BDA"/>
    <w:rsid w:val="00A641BA"/>
    <w:rsid w:val="00A654B6"/>
    <w:rsid w:val="00A676E7"/>
    <w:rsid w:val="00A7637F"/>
    <w:rsid w:val="00A777EA"/>
    <w:rsid w:val="00A82A22"/>
    <w:rsid w:val="00A8778E"/>
    <w:rsid w:val="00A9083D"/>
    <w:rsid w:val="00AA0D18"/>
    <w:rsid w:val="00AC17ED"/>
    <w:rsid w:val="00AC23E6"/>
    <w:rsid w:val="00AC5F66"/>
    <w:rsid w:val="00AC7142"/>
    <w:rsid w:val="00AE180D"/>
    <w:rsid w:val="00AE3D2C"/>
    <w:rsid w:val="00AE431C"/>
    <w:rsid w:val="00AF0CB9"/>
    <w:rsid w:val="00AF265F"/>
    <w:rsid w:val="00B0342D"/>
    <w:rsid w:val="00B05C86"/>
    <w:rsid w:val="00B175B9"/>
    <w:rsid w:val="00B2305C"/>
    <w:rsid w:val="00B24BDA"/>
    <w:rsid w:val="00B319CC"/>
    <w:rsid w:val="00B44563"/>
    <w:rsid w:val="00B54840"/>
    <w:rsid w:val="00B634EA"/>
    <w:rsid w:val="00B73C7A"/>
    <w:rsid w:val="00B845DF"/>
    <w:rsid w:val="00B86701"/>
    <w:rsid w:val="00B876AD"/>
    <w:rsid w:val="00B97EC5"/>
    <w:rsid w:val="00BA0B20"/>
    <w:rsid w:val="00BA6366"/>
    <w:rsid w:val="00BB2763"/>
    <w:rsid w:val="00BC784E"/>
    <w:rsid w:val="00BD2064"/>
    <w:rsid w:val="00BD6868"/>
    <w:rsid w:val="00BF163A"/>
    <w:rsid w:val="00BF449D"/>
    <w:rsid w:val="00C00A39"/>
    <w:rsid w:val="00C03DD3"/>
    <w:rsid w:val="00C12E27"/>
    <w:rsid w:val="00C13FCE"/>
    <w:rsid w:val="00C25DA9"/>
    <w:rsid w:val="00C30EBD"/>
    <w:rsid w:val="00C3123D"/>
    <w:rsid w:val="00C33AB0"/>
    <w:rsid w:val="00C379C1"/>
    <w:rsid w:val="00C405EB"/>
    <w:rsid w:val="00C5091F"/>
    <w:rsid w:val="00C53DE2"/>
    <w:rsid w:val="00C56B8C"/>
    <w:rsid w:val="00C60E85"/>
    <w:rsid w:val="00C61D9E"/>
    <w:rsid w:val="00C72623"/>
    <w:rsid w:val="00C76091"/>
    <w:rsid w:val="00CA1D2E"/>
    <w:rsid w:val="00CB16F3"/>
    <w:rsid w:val="00CB7574"/>
    <w:rsid w:val="00CC214B"/>
    <w:rsid w:val="00CC32E5"/>
    <w:rsid w:val="00CC70DF"/>
    <w:rsid w:val="00CD0362"/>
    <w:rsid w:val="00CD46B5"/>
    <w:rsid w:val="00CD4FA0"/>
    <w:rsid w:val="00CE1A18"/>
    <w:rsid w:val="00CE4C69"/>
    <w:rsid w:val="00CE7048"/>
    <w:rsid w:val="00CF16EC"/>
    <w:rsid w:val="00D17DC2"/>
    <w:rsid w:val="00D270DE"/>
    <w:rsid w:val="00D32678"/>
    <w:rsid w:val="00D34300"/>
    <w:rsid w:val="00D37CA3"/>
    <w:rsid w:val="00D40F54"/>
    <w:rsid w:val="00D53FE7"/>
    <w:rsid w:val="00D61196"/>
    <w:rsid w:val="00D64745"/>
    <w:rsid w:val="00D66133"/>
    <w:rsid w:val="00D71DD8"/>
    <w:rsid w:val="00D77D87"/>
    <w:rsid w:val="00D874F3"/>
    <w:rsid w:val="00D9599D"/>
    <w:rsid w:val="00D97831"/>
    <w:rsid w:val="00DA08CC"/>
    <w:rsid w:val="00DA3A00"/>
    <w:rsid w:val="00DB6540"/>
    <w:rsid w:val="00DB74BE"/>
    <w:rsid w:val="00DC2D24"/>
    <w:rsid w:val="00DC6BEA"/>
    <w:rsid w:val="00DD1E46"/>
    <w:rsid w:val="00DD5BC8"/>
    <w:rsid w:val="00DD7CB6"/>
    <w:rsid w:val="00DE25CD"/>
    <w:rsid w:val="00DE4928"/>
    <w:rsid w:val="00DF6842"/>
    <w:rsid w:val="00E05457"/>
    <w:rsid w:val="00E05F0A"/>
    <w:rsid w:val="00E23622"/>
    <w:rsid w:val="00E27BF8"/>
    <w:rsid w:val="00E27D35"/>
    <w:rsid w:val="00E40583"/>
    <w:rsid w:val="00E45773"/>
    <w:rsid w:val="00E478B3"/>
    <w:rsid w:val="00E5347F"/>
    <w:rsid w:val="00E6375C"/>
    <w:rsid w:val="00E64737"/>
    <w:rsid w:val="00E71590"/>
    <w:rsid w:val="00E87480"/>
    <w:rsid w:val="00E90FC9"/>
    <w:rsid w:val="00EA258B"/>
    <w:rsid w:val="00EB4FF5"/>
    <w:rsid w:val="00EB57E7"/>
    <w:rsid w:val="00EB656B"/>
    <w:rsid w:val="00EC246F"/>
    <w:rsid w:val="00EC6371"/>
    <w:rsid w:val="00EC73B9"/>
    <w:rsid w:val="00ED20EB"/>
    <w:rsid w:val="00ED4B42"/>
    <w:rsid w:val="00ED67D1"/>
    <w:rsid w:val="00EE1F15"/>
    <w:rsid w:val="00EE2FDC"/>
    <w:rsid w:val="00EE337E"/>
    <w:rsid w:val="00EE5087"/>
    <w:rsid w:val="00EF05EF"/>
    <w:rsid w:val="00F02340"/>
    <w:rsid w:val="00F12717"/>
    <w:rsid w:val="00F16DC8"/>
    <w:rsid w:val="00F228A0"/>
    <w:rsid w:val="00F316EC"/>
    <w:rsid w:val="00F37C5D"/>
    <w:rsid w:val="00F41774"/>
    <w:rsid w:val="00F42EDD"/>
    <w:rsid w:val="00F47366"/>
    <w:rsid w:val="00F51005"/>
    <w:rsid w:val="00F5114A"/>
    <w:rsid w:val="00F518DB"/>
    <w:rsid w:val="00F51B4B"/>
    <w:rsid w:val="00F54C2C"/>
    <w:rsid w:val="00F736E6"/>
    <w:rsid w:val="00F80733"/>
    <w:rsid w:val="00F8155D"/>
    <w:rsid w:val="00F84558"/>
    <w:rsid w:val="00FA4BDB"/>
    <w:rsid w:val="00FA7198"/>
    <w:rsid w:val="00FB0BF9"/>
    <w:rsid w:val="00FB147E"/>
    <w:rsid w:val="00FB1BA6"/>
    <w:rsid w:val="00FD22CF"/>
    <w:rsid w:val="00FE3481"/>
    <w:rsid w:val="00FE3D08"/>
    <w:rsid w:val="00FE5173"/>
    <w:rsid w:val="0C167FDC"/>
    <w:rsid w:val="2A0A4507"/>
    <w:rsid w:val="3CCB4694"/>
    <w:rsid w:val="508F467D"/>
    <w:rsid w:val="63FF16C6"/>
    <w:rsid w:val="6CFB4671"/>
    <w:rsid w:val="7A86765B"/>
    <w:rsid w:val="7AA375BC"/>
    <w:rsid w:val="7CE654EF"/>
    <w:rsid w:val="7E384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7"/>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8"/>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9"/>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0"/>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1"/>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6"/>
    <w:semiHidden/>
    <w:unhideWhenUsed/>
    <w:qFormat/>
    <w:uiPriority w:val="99"/>
    <w:pPr>
      <w:jc w:val="left"/>
    </w:pPr>
  </w:style>
  <w:style w:type="paragraph" w:styleId="12">
    <w:name w:val="Body Text Indent"/>
    <w:basedOn w:val="1"/>
    <w:link w:val="52"/>
    <w:semiHidden/>
    <w:unhideWhenUsed/>
    <w:qFormat/>
    <w:uiPriority w:val="99"/>
    <w:pPr>
      <w:spacing w:after="120"/>
      <w:ind w:left="420" w:leftChars="200"/>
    </w:pPr>
  </w:style>
  <w:style w:type="paragraph" w:styleId="13">
    <w:name w:val="toc 3"/>
    <w:basedOn w:val="1"/>
    <w:next w:val="1"/>
    <w:autoRedefine/>
    <w:unhideWhenUsed/>
    <w:qFormat/>
    <w:uiPriority w:val="39"/>
    <w:pPr>
      <w:ind w:left="840" w:leftChars="400"/>
    </w:p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4"/>
    <w:unhideWhenUsed/>
    <w:qFormat/>
    <w:uiPriority w:val="99"/>
    <w:pPr>
      <w:tabs>
        <w:tab w:val="center" w:pos="4153"/>
        <w:tab w:val="right" w:pos="8306"/>
      </w:tabs>
      <w:snapToGrid w:val="0"/>
      <w:jc w:val="center"/>
    </w:pPr>
    <w:rPr>
      <w:sz w:val="18"/>
      <w:szCs w:val="18"/>
    </w:rPr>
  </w:style>
  <w:style w:type="paragraph" w:styleId="16">
    <w:name w:val="toc 1"/>
    <w:basedOn w:val="1"/>
    <w:next w:val="1"/>
    <w:autoRedefine/>
    <w:unhideWhenUsed/>
    <w:qFormat/>
    <w:uiPriority w:val="39"/>
  </w:style>
  <w:style w:type="paragraph" w:styleId="17">
    <w:name w:val="Subtitle"/>
    <w:basedOn w:val="1"/>
    <w:next w:val="1"/>
    <w:link w:val="3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autoRedefine/>
    <w:unhideWhenUsed/>
    <w:qFormat/>
    <w:uiPriority w:val="39"/>
    <w:pPr>
      <w:tabs>
        <w:tab w:val="right" w:leader="dot" w:pos="8296"/>
      </w:tabs>
      <w:ind w:left="420" w:leftChars="200"/>
      <w:jc w:val="center"/>
    </w:pPr>
  </w:style>
  <w:style w:type="paragraph" w:styleId="19">
    <w:name w:val="Title"/>
    <w:basedOn w:val="1"/>
    <w:next w:val="1"/>
    <w:link w:val="35"/>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annotation subject"/>
    <w:basedOn w:val="11"/>
    <w:next w:val="11"/>
    <w:link w:val="47"/>
    <w:semiHidden/>
    <w:unhideWhenUsed/>
    <w:qFormat/>
    <w:uiPriority w:val="99"/>
    <w:rPr>
      <w:b/>
      <w:bCs/>
    </w:rPr>
  </w:style>
  <w:style w:type="paragraph" w:styleId="21">
    <w:name w:val="Body Text First Indent 2"/>
    <w:basedOn w:val="12"/>
    <w:link w:val="53"/>
    <w:unhideWhenUsed/>
    <w:qFormat/>
    <w:uiPriority w:val="99"/>
    <w:pPr>
      <w:ind w:left="0" w:leftChars="0" w:firstLine="420"/>
    </w:pPr>
    <w:rPr>
      <w:rFonts w:ascii="仿宋_GB2312" w:eastAsia="仿宋_GB2312" w:cs="仿宋_GB2312"/>
    </w:rPr>
  </w:style>
  <w:style w:type="character" w:styleId="24">
    <w:name w:val="Hyperlink"/>
    <w:basedOn w:val="23"/>
    <w:unhideWhenUsed/>
    <w:qFormat/>
    <w:uiPriority w:val="99"/>
    <w:rPr>
      <w:color w:val="0563C1"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7">
    <w:name w:val="标题 2 字符"/>
    <w:basedOn w:val="23"/>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8">
    <w:name w:val="标题 3 字符"/>
    <w:basedOn w:val="23"/>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9">
    <w:name w:val="标题 4 字符"/>
    <w:basedOn w:val="23"/>
    <w:link w:val="5"/>
    <w:semiHidden/>
    <w:qFormat/>
    <w:uiPriority w:val="9"/>
    <w:rPr>
      <w:rFonts w:cstheme="majorBidi"/>
      <w:color w:val="2F5597" w:themeColor="accent1" w:themeShade="BF"/>
      <w:sz w:val="28"/>
      <w:szCs w:val="28"/>
    </w:rPr>
  </w:style>
  <w:style w:type="character" w:customStyle="1" w:styleId="30">
    <w:name w:val="标题 5 字符"/>
    <w:basedOn w:val="23"/>
    <w:link w:val="6"/>
    <w:semiHidden/>
    <w:qFormat/>
    <w:uiPriority w:val="9"/>
    <w:rPr>
      <w:rFonts w:cstheme="majorBidi"/>
      <w:color w:val="2F5597" w:themeColor="accent1" w:themeShade="BF"/>
      <w:sz w:val="24"/>
      <w:szCs w:val="24"/>
    </w:rPr>
  </w:style>
  <w:style w:type="character" w:customStyle="1" w:styleId="31">
    <w:name w:val="标题 6 字符"/>
    <w:basedOn w:val="23"/>
    <w:link w:val="7"/>
    <w:semiHidden/>
    <w:qFormat/>
    <w:uiPriority w:val="9"/>
    <w:rPr>
      <w:rFonts w:cstheme="majorBidi"/>
      <w:b/>
      <w:bCs/>
      <w:color w:val="2F5597" w:themeColor="accent1" w:themeShade="BF"/>
    </w:rPr>
  </w:style>
  <w:style w:type="character" w:customStyle="1" w:styleId="32">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3">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4">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字符"/>
    <w:basedOn w:val="23"/>
    <w:link w:val="19"/>
    <w:qFormat/>
    <w:uiPriority w:val="10"/>
    <w:rPr>
      <w:rFonts w:asciiTheme="majorHAnsi" w:hAnsiTheme="majorHAnsi" w:eastAsiaTheme="majorEastAsia" w:cstheme="majorBidi"/>
      <w:spacing w:val="-10"/>
      <w:kern w:val="28"/>
      <w:sz w:val="56"/>
      <w:szCs w:val="56"/>
    </w:rPr>
  </w:style>
  <w:style w:type="character" w:customStyle="1" w:styleId="36">
    <w:name w:val="副标题 字符"/>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7">
    <w:name w:val="Quote"/>
    <w:basedOn w:val="1"/>
    <w:next w:val="1"/>
    <w:link w:val="3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引用 字符"/>
    <w:basedOn w:val="23"/>
    <w:link w:val="37"/>
    <w:qFormat/>
    <w:uiPriority w:val="29"/>
    <w:rPr>
      <w:i/>
      <w:iCs/>
      <w:color w:val="404040" w:themeColor="text1" w:themeTint="BF"/>
      <w14:textFill>
        <w14:solidFill>
          <w14:schemeClr w14:val="tx1">
            <w14:lumMod w14:val="75000"/>
            <w14:lumOff w14:val="25000"/>
          </w14:schemeClr>
        </w14:solidFill>
      </w14:textFill>
    </w:rPr>
  </w:style>
  <w:style w:type="paragraph" w:styleId="39">
    <w:name w:val="List Paragraph"/>
    <w:basedOn w:val="1"/>
    <w:qFormat/>
    <w:uiPriority w:val="34"/>
    <w:pPr>
      <w:ind w:left="720"/>
      <w:contextualSpacing/>
    </w:pPr>
  </w:style>
  <w:style w:type="character" w:customStyle="1" w:styleId="40">
    <w:name w:val="明显强调1"/>
    <w:basedOn w:val="23"/>
    <w:qFormat/>
    <w:uiPriority w:val="21"/>
    <w:rPr>
      <w:i/>
      <w:iCs/>
      <w:color w:val="2F5597" w:themeColor="accent1" w:themeShade="BF"/>
    </w:rPr>
  </w:style>
  <w:style w:type="paragraph" w:styleId="41">
    <w:name w:val="Intense Quote"/>
    <w:basedOn w:val="1"/>
    <w:next w:val="1"/>
    <w:link w:val="4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2">
    <w:name w:val="明显引用 字符"/>
    <w:basedOn w:val="23"/>
    <w:link w:val="41"/>
    <w:qFormat/>
    <w:uiPriority w:val="30"/>
    <w:rPr>
      <w:i/>
      <w:iCs/>
      <w:color w:val="2F5597" w:themeColor="accent1" w:themeShade="BF"/>
    </w:rPr>
  </w:style>
  <w:style w:type="character" w:customStyle="1" w:styleId="43">
    <w:name w:val="明显参考1"/>
    <w:basedOn w:val="23"/>
    <w:qFormat/>
    <w:uiPriority w:val="32"/>
    <w:rPr>
      <w:b/>
      <w:bCs/>
      <w:smallCaps/>
      <w:color w:val="2F5597" w:themeColor="accent1" w:themeShade="BF"/>
      <w:spacing w:val="5"/>
    </w:rPr>
  </w:style>
  <w:style w:type="character" w:customStyle="1" w:styleId="44">
    <w:name w:val="页眉 字符"/>
    <w:basedOn w:val="23"/>
    <w:link w:val="15"/>
    <w:qFormat/>
    <w:uiPriority w:val="99"/>
    <w:rPr>
      <w:sz w:val="18"/>
      <w:szCs w:val="18"/>
    </w:rPr>
  </w:style>
  <w:style w:type="character" w:customStyle="1" w:styleId="45">
    <w:name w:val="页脚 字符"/>
    <w:basedOn w:val="23"/>
    <w:link w:val="14"/>
    <w:qFormat/>
    <w:uiPriority w:val="99"/>
    <w:rPr>
      <w:sz w:val="18"/>
      <w:szCs w:val="18"/>
    </w:rPr>
  </w:style>
  <w:style w:type="character" w:customStyle="1" w:styleId="46">
    <w:name w:val="批注文字 字符"/>
    <w:basedOn w:val="23"/>
    <w:link w:val="11"/>
    <w:semiHidden/>
    <w:qFormat/>
    <w:uiPriority w:val="99"/>
  </w:style>
  <w:style w:type="character" w:customStyle="1" w:styleId="47">
    <w:name w:val="批注主题 字符"/>
    <w:basedOn w:val="46"/>
    <w:link w:val="20"/>
    <w:semiHidden/>
    <w:qFormat/>
    <w:uiPriority w:val="99"/>
    <w:rPr>
      <w:b/>
      <w:bCs/>
    </w:rPr>
  </w:style>
  <w:style w:type="table" w:customStyle="1" w:styleId="48">
    <w:name w:val="网格型5"/>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TOC 标题1"/>
    <w:basedOn w:val="2"/>
    <w:next w:val="1"/>
    <w:unhideWhenUsed/>
    <w:qFormat/>
    <w:uiPriority w:val="39"/>
    <w:pPr>
      <w:widowControl/>
      <w:spacing w:before="240" w:after="0" w:line="259" w:lineRule="auto"/>
      <w:jc w:val="left"/>
      <w:outlineLvl w:val="9"/>
    </w:pPr>
    <w:rPr>
      <w:kern w:val="0"/>
      <w:sz w:val="32"/>
      <w:szCs w:val="32"/>
    </w:rPr>
  </w:style>
  <w:style w:type="paragraph" w:customStyle="1" w:styleId="50">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1">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2">
    <w:name w:val="正文文本缩进 字符"/>
    <w:basedOn w:val="23"/>
    <w:link w:val="12"/>
    <w:semiHidden/>
    <w:qFormat/>
    <w:uiPriority w:val="99"/>
    <w:rPr>
      <w:rFonts w:asciiTheme="minorHAnsi" w:hAnsiTheme="minorHAnsi" w:eastAsiaTheme="minorEastAsia" w:cstheme="minorBidi"/>
      <w:kern w:val="2"/>
      <w:sz w:val="21"/>
      <w:szCs w:val="22"/>
    </w:rPr>
  </w:style>
  <w:style w:type="character" w:customStyle="1" w:styleId="53">
    <w:name w:val="正文文本首行缩进 2 字符"/>
    <w:basedOn w:val="52"/>
    <w:link w:val="21"/>
    <w:qFormat/>
    <w:uiPriority w:val="99"/>
    <w:rPr>
      <w:rFonts w:ascii="仿宋_GB2312" w:eastAsia="仿宋_GB2312" w:cs="仿宋_GB2312" w:hAnsiTheme="minorHAnsi"/>
      <w:kern w:val="2"/>
      <w:sz w:val="21"/>
      <w:szCs w:val="22"/>
    </w:rPr>
  </w:style>
  <w:style w:type="paragraph" w:customStyle="1" w:styleId="5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CE010A2C-A583-46E9-BF54-1CB01DCC57C7}">
  <ds:schemaRefs/>
</ds:datastoreItem>
</file>

<file path=docProps/app.xml><?xml version="1.0" encoding="utf-8"?>
<Properties xmlns="http://schemas.openxmlformats.org/officeDocument/2006/extended-properties" xmlns:vt="http://schemas.openxmlformats.org/officeDocument/2006/docPropsVTypes">
  <Template>Normal.dotm</Template>
  <Pages>33</Pages>
  <Words>9682</Words>
  <Characters>9876</Characters>
  <Lines>548</Lines>
  <Paragraphs>383</Paragraphs>
  <TotalTime>6</TotalTime>
  <ScaleCrop>false</ScaleCrop>
  <LinksUpToDate>false</LinksUpToDate>
  <CharactersWithSpaces>19175</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2026-09-21T10:41:00Z</dcterms:created>
  <dc:creator>Benson Chan</dc:creator>
  <cp:lastModifiedBy>杨帆</cp:lastModifiedBy>
  <cp:lastPrinted>2025-12-14T17:41:00Z</cp:lastPrinted>
  <dcterms:modified xsi:type="dcterms:W3CDTF">2026-09-28T11:31:10Z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eyJoZGlkIjoiOGZjMjUxZGRhYzM3NzM0ODg4NzIwMWRhZmNiYmRkMzIiLCJ1c2VySWQiOiI0NzEyMjM5NTYifQ==</vt:lpwstr>
  </property>
  <property fmtid="{D5CDD505-2E9C-101B-9397-08002B2CF9AE}" pid="3" name="KSOProductBuildVer">
    <vt:lpwstr>2052-12.1.2.28080</vt:lpwstr>
  </property>
  <property fmtid="{D5CDD505-2E9C-101B-9397-08002B2CF9AE}" pid="4" name="ICV">
    <vt:lpwstr>D2BB529091434E0DB13B21816BE3ABF8_13</vt:lpwstr>
  </property>
</Properties>
</file>