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07BD2">
      <w:pPr>
        <w:keepNext w:val="0"/>
        <w:keepLines w:val="0"/>
        <w:pageBreakBefore w:val="0"/>
        <w:widowControl w:val="0"/>
        <w:kinsoku/>
        <w:wordWrap/>
        <w:overflowPunct/>
        <w:topLinePunct w:val="0"/>
        <w:autoSpaceDE/>
        <w:autoSpaceDN/>
        <w:bidi w:val="0"/>
        <w:spacing w:line="560" w:lineRule="exact"/>
        <w:jc w:val="both"/>
        <w:textAlignment w:val="auto"/>
        <w:rPr>
          <w:rFonts w:hint="eastAsia" w:ascii="仿宋" w:hAnsi="仿宋" w:eastAsia="仿宋" w:cs="仿宋"/>
          <w:b w:val="0"/>
          <w:bCs w:val="0"/>
          <w:i w:val="0"/>
          <w:caps w:val="0"/>
          <w:color w:val="404040"/>
          <w:spacing w:val="0"/>
          <w:kern w:val="0"/>
          <w:sz w:val="32"/>
          <w:szCs w:val="32"/>
          <w:shd w:val="clear" w:fill="FFFFFF"/>
          <w:lang w:val="en-US" w:eastAsia="zh-CN" w:bidi="ar"/>
        </w:rPr>
      </w:pPr>
      <w:bookmarkStart w:id="0" w:name="_Hlk528933888"/>
      <w:r>
        <w:rPr>
          <w:rFonts w:hint="eastAsia" w:ascii="黑体" w:hAnsi="黑体" w:eastAsia="黑体" w:cs="黑体"/>
          <w:b w:val="0"/>
          <w:bCs w:val="0"/>
          <w:i w:val="0"/>
          <w:caps w:val="0"/>
          <w:color w:val="404040"/>
          <w:spacing w:val="0"/>
          <w:kern w:val="0"/>
          <w:sz w:val="32"/>
          <w:szCs w:val="32"/>
          <w:shd w:val="clear" w:fill="FFFFFF"/>
          <w:lang w:val="en-US" w:eastAsia="zh-CN" w:bidi="ar"/>
        </w:rPr>
        <w:t>附件2：</w:t>
      </w:r>
    </w:p>
    <w:p w14:paraId="49D0D328">
      <w:pPr>
        <w:keepNext w:val="0"/>
        <w:keepLines w:val="0"/>
        <w:pageBreakBefore w:val="0"/>
        <w:widowControl w:val="0"/>
        <w:kinsoku/>
        <w:wordWrap/>
        <w:overflowPunct/>
        <w:topLinePunct w:val="0"/>
        <w:autoSpaceDE/>
        <w:autoSpaceDN/>
        <w:bidi w:val="0"/>
        <w:spacing w:line="560" w:lineRule="exact"/>
        <w:jc w:val="center"/>
        <w:textAlignment w:val="auto"/>
        <w:rPr>
          <w:rFonts w:hint="eastAsia" w:ascii="仿宋" w:hAnsi="仿宋" w:eastAsia="仿宋" w:cs="仿宋"/>
          <w:b/>
          <w:bCs/>
          <w:i w:val="0"/>
          <w:caps w:val="0"/>
          <w:color w:val="404040"/>
          <w:spacing w:val="0"/>
          <w:kern w:val="0"/>
          <w:sz w:val="32"/>
          <w:szCs w:val="32"/>
          <w:shd w:val="clear" w:fill="FFFFFF"/>
          <w:lang w:val="en-US" w:eastAsia="zh-CN" w:bidi="ar"/>
        </w:rPr>
      </w:pPr>
    </w:p>
    <w:p w14:paraId="53B1A5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i w:val="0"/>
          <w:caps w:val="0"/>
          <w:color w:val="000000" w:themeColor="text1"/>
          <w:spacing w:val="0"/>
          <w:kern w:val="0"/>
          <w:sz w:val="44"/>
          <w:szCs w:val="44"/>
          <w:shd w:val="clear" w:fill="FFFFFF"/>
          <w:lang w:val="en-US" w:eastAsia="zh-CN" w:bidi="ar"/>
          <w14:textFill>
            <w14:solidFill>
              <w14:schemeClr w14:val="tx1"/>
            </w14:solidFill>
          </w14:textFill>
        </w:rPr>
      </w:pPr>
      <w:r>
        <w:rPr>
          <w:rFonts w:hint="eastAsia" w:ascii="方正小标宋简体" w:hAnsi="方正小标宋简体" w:eastAsia="方正小标宋简体" w:cs="方正小标宋简体"/>
          <w:b w:val="0"/>
          <w:bCs w:val="0"/>
          <w:i w:val="0"/>
          <w:caps w:val="0"/>
          <w:color w:val="000000" w:themeColor="text1"/>
          <w:spacing w:val="0"/>
          <w:kern w:val="0"/>
          <w:sz w:val="44"/>
          <w:szCs w:val="44"/>
          <w:shd w:val="clear" w:fill="FFFFFF"/>
          <w:lang w:val="en-US" w:eastAsia="zh-CN" w:bidi="ar"/>
          <w14:textFill>
            <w14:solidFill>
              <w14:schemeClr w14:val="tx1"/>
            </w14:solidFill>
          </w14:textFill>
        </w:rPr>
        <w:t>广州市花都区动物卫生监督中心2026年至2027年度兽医实验室及兽医实验室</w:t>
      </w:r>
    </w:p>
    <w:p w14:paraId="270414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b w:val="0"/>
          <w:bCs w:val="0"/>
          <w:i w:val="0"/>
          <w:caps w:val="0"/>
          <w:color w:val="000000" w:themeColor="text1"/>
          <w:spacing w:val="0"/>
          <w:kern w:val="0"/>
          <w:sz w:val="44"/>
          <w:szCs w:val="44"/>
          <w:shd w:val="clear" w:fill="FFFFFF"/>
          <w:lang w:val="en-US" w:eastAsia="zh-CN" w:bidi="ar"/>
          <w14:textFill>
            <w14:solidFill>
              <w14:schemeClr w14:val="tx1"/>
            </w14:solidFill>
          </w14:textFill>
        </w:rPr>
        <w:t>仪器设备维护服务项目评分方案</w:t>
      </w:r>
    </w:p>
    <w:p w14:paraId="27F26C00">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hint="eastAsia" w:ascii="仿宋" w:hAnsi="仿宋" w:eastAsia="仿宋" w:cs="仿宋"/>
          <w:b/>
          <w:bCs/>
          <w:sz w:val="32"/>
          <w:szCs w:val="32"/>
        </w:rPr>
      </w:pPr>
    </w:p>
    <w:p w14:paraId="52BE882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default" w:ascii="Times New Roman" w:hAnsi="Times New Roman" w:eastAsia="仿宋" w:cs="Times New Roman"/>
          <w:b/>
          <w:bCs/>
          <w:sz w:val="32"/>
          <w:szCs w:val="32"/>
        </w:rPr>
      </w:pPr>
      <w:r>
        <w:rPr>
          <w:rFonts w:hint="default" w:ascii="Times New Roman" w:hAnsi="Times New Roman" w:eastAsia="黑体" w:cs="Times New Roman"/>
          <w:b w:val="0"/>
          <w:bCs w:val="0"/>
          <w:sz w:val="32"/>
          <w:szCs w:val="32"/>
        </w:rPr>
        <w:t>一、评标小组</w:t>
      </w:r>
    </w:p>
    <w:p w14:paraId="13101FF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通过随机抽取的方式抽取区动物卫生监督中心政府采购项目评审成员库成员组成询价评审小组成员，局机关纪委派员担任项目监督员。</w:t>
      </w:r>
    </w:p>
    <w:p w14:paraId="0EAA549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32"/>
          <w:szCs w:val="32"/>
        </w:rPr>
        <w:t>二、评审方式</w:t>
      </w:r>
    </w:p>
    <w:p w14:paraId="1251CA6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召开现场评审会，对投标人的</w:t>
      </w:r>
      <w:r>
        <w:rPr>
          <w:rFonts w:hint="default" w:ascii="Times New Roman" w:hAnsi="Times New Roman" w:eastAsia="仿宋" w:cs="Times New Roman"/>
          <w:sz w:val="32"/>
          <w:szCs w:val="32"/>
          <w:lang w:val="en-US" w:eastAsia="zh-CN"/>
        </w:rPr>
        <w:t>报价材料</w:t>
      </w:r>
      <w:r>
        <w:rPr>
          <w:rFonts w:hint="default" w:ascii="Times New Roman" w:hAnsi="Times New Roman" w:eastAsia="仿宋" w:cs="Times New Roman"/>
          <w:sz w:val="32"/>
          <w:szCs w:val="32"/>
        </w:rPr>
        <w:t>进行现场</w:t>
      </w:r>
      <w:r>
        <w:rPr>
          <w:rFonts w:hint="default" w:ascii="Times New Roman" w:hAnsi="Times New Roman" w:eastAsia="仿宋" w:cs="Times New Roman"/>
          <w:sz w:val="32"/>
          <w:szCs w:val="32"/>
          <w:lang w:val="en-US" w:eastAsia="zh-CN"/>
        </w:rPr>
        <w:t>拆封</w:t>
      </w:r>
      <w:r>
        <w:rPr>
          <w:rFonts w:hint="default" w:ascii="Times New Roman" w:hAnsi="Times New Roman" w:eastAsia="仿宋" w:cs="Times New Roman"/>
          <w:sz w:val="32"/>
          <w:szCs w:val="32"/>
        </w:rPr>
        <w:t>、评审，确定中标单位。</w:t>
      </w:r>
    </w:p>
    <w:p w14:paraId="59F36BB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 w:cs="Times New Roman"/>
          <w:b w:val="0"/>
          <w:bCs w:val="0"/>
          <w:sz w:val="32"/>
          <w:szCs w:val="32"/>
        </w:rPr>
      </w:pPr>
      <w:r>
        <w:rPr>
          <w:rFonts w:hint="default" w:ascii="Times New Roman" w:hAnsi="Times New Roman" w:eastAsia="黑体" w:cs="Times New Roman"/>
          <w:b w:val="0"/>
          <w:bCs w:val="0"/>
          <w:sz w:val="32"/>
          <w:szCs w:val="32"/>
        </w:rPr>
        <w:t>三、评审项目及控制价</w:t>
      </w:r>
    </w:p>
    <w:p w14:paraId="1EC51D2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一</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评审项目：</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2026年至2027年度兽医实验室及兽医实验室仪器设备维护服务</w:t>
      </w:r>
      <w:r>
        <w:rPr>
          <w:rFonts w:hint="default" w:ascii="Times New Roman" w:hAnsi="Times New Roman" w:eastAsia="仿宋" w:cs="Times New Roman"/>
          <w:sz w:val="32"/>
          <w:szCs w:val="32"/>
          <w:lang w:eastAsia="zh-CN"/>
        </w:rPr>
        <w:t>。</w:t>
      </w:r>
    </w:p>
    <w:p w14:paraId="6ED8683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color w:val="000000" w:themeColor="text1"/>
          <w:sz w:val="32"/>
          <w:szCs w:val="32"/>
          <w:lang w:val="en-US" w:eastAsia="zh-CN"/>
          <w14:textFill>
            <w14:solidFill>
              <w14:schemeClr w14:val="tx1"/>
            </w14:solidFill>
          </w14:textFill>
        </w:rPr>
        <w:t>（二）项目编号：HDCG-202606。</w:t>
      </w:r>
    </w:p>
    <w:p w14:paraId="4E207B2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sz w:val="32"/>
          <w:szCs w:val="32"/>
          <w:lang w:val="en-US" w:eastAsia="zh-CN"/>
        </w:rPr>
        <w:t>（三）项目服务期限：委</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托服务时间自2026年1</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月1日至2027年</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10</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月3</w:t>
      </w:r>
      <w:r>
        <w:rPr>
          <w:rFonts w:hint="eastAsia" w:ascii="Times New Roman" w:hAnsi="Times New Roman" w:eastAsia="仿宋"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日止</w:t>
      </w:r>
      <w:r>
        <w:rPr>
          <w:rFonts w:hint="default" w:ascii="Times New Roman" w:hAnsi="Times New Roman" w:eastAsia="仿宋" w:cs="Times New Roman"/>
          <w:color w:val="000000" w:themeColor="text1"/>
          <w:sz w:val="32"/>
          <w:szCs w:val="32"/>
          <w14:textFill>
            <w14:solidFill>
              <w14:schemeClr w14:val="tx1"/>
            </w14:solidFill>
          </w14:textFill>
        </w:rPr>
        <w:t>（具体时间以签订的合同时间为准）</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w:t>
      </w:r>
    </w:p>
    <w:p w14:paraId="336537F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 w:cs="Times New Roman"/>
          <w:color w:val="000000" w:themeColor="text1"/>
          <w:sz w:val="32"/>
          <w:szCs w:val="32"/>
          <w:lang w:eastAsia="zh-CN"/>
          <w14:textFill>
            <w14:solidFill>
              <w14:schemeClr w14:val="tx1"/>
            </w14:solidFill>
          </w14:textFill>
        </w:rPr>
      </w:pPr>
      <w:r>
        <w:rPr>
          <w:rFonts w:hint="default" w:ascii="Times New Roman" w:hAnsi="Times New Roman" w:eastAsia="仿宋" w:cs="Times New Roman"/>
          <w:color w:val="000000" w:themeColor="text1"/>
          <w:sz w:val="32"/>
          <w:szCs w:val="32"/>
          <w:lang w:val="en-US" w:eastAsia="zh-CN"/>
          <w14:textFill>
            <w14:solidFill>
              <w14:schemeClr w14:val="tx1"/>
            </w14:solidFill>
          </w14:textFill>
        </w:rPr>
        <w:t>（四）</w:t>
      </w:r>
      <w:r>
        <w:rPr>
          <w:rFonts w:hint="default" w:ascii="Times New Roman" w:hAnsi="Times New Roman" w:eastAsia="仿宋" w:cs="Times New Roman"/>
          <w:color w:val="000000" w:themeColor="text1"/>
          <w:sz w:val="32"/>
          <w:szCs w:val="32"/>
          <w14:textFill>
            <w14:solidFill>
              <w14:schemeClr w14:val="tx1"/>
            </w14:solidFill>
          </w14:textFill>
        </w:rPr>
        <w:t>控制价</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不超过人民币7</w:t>
      </w:r>
      <w:r>
        <w:rPr>
          <w:rFonts w:hint="default" w:ascii="Times New Roman" w:hAnsi="Times New Roman" w:eastAsia="仿宋" w:cs="Times New Roman"/>
          <w:color w:val="000000" w:themeColor="text1"/>
          <w:sz w:val="32"/>
          <w:szCs w:val="32"/>
          <w14:textFill>
            <w14:solidFill>
              <w14:schemeClr w14:val="tx1"/>
            </w14:solidFill>
          </w14:textFill>
        </w:rPr>
        <w:t>万元</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p>
    <w:p w14:paraId="106B753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 w:cs="Times New Roman"/>
          <w:b w:val="0"/>
          <w:bCs w:val="0"/>
          <w:sz w:val="32"/>
          <w:szCs w:val="32"/>
          <w:lang w:eastAsia="zh-CN"/>
        </w:rPr>
      </w:pPr>
      <w:r>
        <w:rPr>
          <w:rFonts w:hint="default" w:ascii="Times New Roman" w:hAnsi="Times New Roman" w:eastAsia="黑体" w:cs="Times New Roman"/>
          <w:b w:val="0"/>
          <w:bCs w:val="0"/>
          <w:sz w:val="32"/>
          <w:szCs w:val="32"/>
        </w:rPr>
        <w:t>四、评审</w:t>
      </w:r>
      <w:r>
        <w:rPr>
          <w:rFonts w:hint="default" w:ascii="Times New Roman" w:hAnsi="Times New Roman" w:eastAsia="黑体" w:cs="Times New Roman"/>
          <w:b w:val="0"/>
          <w:bCs w:val="0"/>
          <w:sz w:val="32"/>
          <w:szCs w:val="32"/>
          <w:lang w:val="en-US" w:eastAsia="zh-CN"/>
        </w:rPr>
        <w:t>原则</w:t>
      </w:r>
    </w:p>
    <w:p w14:paraId="26F9FFF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在询价评审中，评委对投标人进行符合性审查</w:t>
      </w:r>
      <w:r>
        <w:rPr>
          <w:rFonts w:hint="eastAsia" w:ascii="Times New Roman" w:hAnsi="Times New Roman" w:eastAsia="仿宋" w:cs="Times New Roman"/>
          <w:sz w:val="32"/>
          <w:szCs w:val="32"/>
          <w:lang w:val="en-US" w:eastAsia="zh-CN"/>
        </w:rPr>
        <w:t>，在</w:t>
      </w:r>
      <w:r>
        <w:rPr>
          <w:rFonts w:hint="default" w:ascii="Times New Roman" w:hAnsi="Times New Roman" w:eastAsia="仿宋" w:cs="Times New Roman"/>
          <w:sz w:val="32"/>
          <w:szCs w:val="32"/>
          <w:lang w:val="en-US" w:eastAsia="zh-CN"/>
        </w:rPr>
        <w:t>同等条件下，选取报价最低的投标人。</w:t>
      </w:r>
    </w:p>
    <w:p w14:paraId="36DA5D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五</w:t>
      </w:r>
      <w:r>
        <w:rPr>
          <w:rFonts w:hint="default" w:ascii="Times New Roman" w:hAnsi="Times New Roman" w:eastAsia="黑体" w:cs="Times New Roman"/>
          <w:b w:val="0"/>
          <w:bCs w:val="0"/>
          <w:sz w:val="32"/>
          <w:szCs w:val="32"/>
        </w:rPr>
        <w:t>、评审流程及标准</w:t>
      </w:r>
    </w:p>
    <w:p w14:paraId="37414B8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default" w:ascii="Times New Roman" w:hAnsi="Times New Roman" w:eastAsia="楷体" w:cs="Times New Roman"/>
          <w:b w:val="0"/>
          <w:bCs w:val="0"/>
          <w:sz w:val="32"/>
          <w:szCs w:val="32"/>
        </w:rPr>
      </w:pPr>
      <w:r>
        <w:rPr>
          <w:rFonts w:hint="default" w:ascii="Times New Roman" w:hAnsi="Times New Roman" w:eastAsia="楷体" w:cs="Times New Roman"/>
          <w:b w:val="0"/>
          <w:bCs w:val="0"/>
          <w:sz w:val="32"/>
          <w:szCs w:val="32"/>
        </w:rPr>
        <w:t>（一）初步评审</w:t>
      </w:r>
    </w:p>
    <w:p w14:paraId="296812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对</w:t>
      </w:r>
      <w:r>
        <w:rPr>
          <w:rFonts w:hint="default" w:ascii="Times New Roman" w:hAnsi="Times New Roman" w:eastAsia="仿宋" w:cs="Times New Roman"/>
          <w:sz w:val="32"/>
          <w:szCs w:val="32"/>
          <w:lang w:val="en-US" w:eastAsia="zh-CN"/>
        </w:rPr>
        <w:t>投标人</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资格性</w:t>
      </w:r>
      <w:r>
        <w:rPr>
          <w:rFonts w:hint="default" w:ascii="Times New Roman" w:hAnsi="Times New Roman" w:eastAsia="仿宋" w:cs="Times New Roman"/>
          <w:color w:val="000000" w:themeColor="text1"/>
          <w:sz w:val="32"/>
          <w:szCs w:val="32"/>
          <w14:textFill>
            <w14:solidFill>
              <w14:schemeClr w14:val="tx1"/>
            </w14:solidFill>
          </w14:textFill>
        </w:rPr>
        <w:t>进行评审（见表1）</w:t>
      </w:r>
      <w:r>
        <w:rPr>
          <w:rFonts w:hint="default" w:ascii="Times New Roman" w:hAnsi="Times New Roman" w:eastAsia="仿宋" w:cs="Times New Roman"/>
          <w:sz w:val="32"/>
          <w:szCs w:val="32"/>
          <w:lang w:eastAsia="zh-CN"/>
        </w:rPr>
        <w:t>。</w:t>
      </w:r>
    </w:p>
    <w:p w14:paraId="747E1561">
      <w:pPr>
        <w:keepNext w:val="0"/>
        <w:keepLines w:val="0"/>
        <w:pageBreakBefore w:val="0"/>
        <w:widowControl w:val="0"/>
        <w:kinsoku/>
        <w:wordWrap/>
        <w:overflowPunct/>
        <w:topLinePunct w:val="0"/>
        <w:autoSpaceDE/>
        <w:autoSpaceDN/>
        <w:bidi w:val="0"/>
        <w:adjustRightInd/>
        <w:snapToGrid/>
        <w:spacing w:after="157" w:afterLines="50" w:line="560" w:lineRule="exact"/>
        <w:ind w:firstLine="640" w:firstLineChars="200"/>
        <w:textAlignment w:val="auto"/>
        <w:outlineLvl w:val="9"/>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表1：</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资格性</w:t>
      </w:r>
      <w:r>
        <w:rPr>
          <w:rFonts w:hint="default" w:ascii="Times New Roman" w:hAnsi="Times New Roman" w:eastAsia="仿宋" w:cs="Times New Roman"/>
          <w:color w:val="000000" w:themeColor="text1"/>
          <w:sz w:val="32"/>
          <w:szCs w:val="32"/>
          <w14:textFill>
            <w14:solidFill>
              <w14:schemeClr w14:val="tx1"/>
            </w14:solidFill>
          </w14:textFill>
        </w:rPr>
        <w:t>评审表</w:t>
      </w:r>
    </w:p>
    <w:tbl>
      <w:tblPr>
        <w:tblStyle w:val="12"/>
        <w:tblW w:w="88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659"/>
        <w:gridCol w:w="5878"/>
        <w:gridCol w:w="750"/>
        <w:gridCol w:w="705"/>
        <w:gridCol w:w="840"/>
      </w:tblGrid>
      <w:tr w14:paraId="56BF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5" w:hRule="atLeast"/>
        </w:trPr>
        <w:tc>
          <w:tcPr>
            <w:tcW w:w="659" w:type="dxa"/>
            <w:vMerge w:val="restart"/>
            <w:shd w:val="clear" w:color="auto" w:fill="auto"/>
            <w:vAlign w:val="center"/>
          </w:tcPr>
          <w:p w14:paraId="6E46B1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color w:val="000000" w:themeColor="text1"/>
                <w:kern w:val="0"/>
                <w:sz w:val="21"/>
                <w:szCs w:val="21"/>
                <w:u w:val="none"/>
                <w:lang w:val="en-US" w:eastAsia="zh-CN" w:bidi="ar"/>
                <w14:textFill>
                  <w14:solidFill>
                    <w14:schemeClr w14:val="tx1"/>
                  </w14:solidFill>
                </w14:textFill>
              </w:rPr>
              <w:t>序号</w:t>
            </w:r>
          </w:p>
        </w:tc>
        <w:tc>
          <w:tcPr>
            <w:tcW w:w="5878" w:type="dxa"/>
            <w:vMerge w:val="restart"/>
            <w:shd w:val="clear" w:color="auto" w:fill="auto"/>
            <w:vAlign w:val="center"/>
          </w:tcPr>
          <w:p w14:paraId="5D9AF3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color w:val="000000" w:themeColor="text1"/>
                <w:kern w:val="0"/>
                <w:sz w:val="21"/>
                <w:szCs w:val="21"/>
                <w:u w:val="none"/>
                <w:lang w:val="en-US" w:eastAsia="zh-CN" w:bidi="ar"/>
                <w14:textFill>
                  <w14:solidFill>
                    <w14:schemeClr w14:val="tx1"/>
                  </w14:solidFill>
                </w14:textFill>
              </w:rPr>
              <w:t>资格</w:t>
            </w:r>
            <w:r>
              <w:rPr>
                <w:rFonts w:hint="default" w:ascii="Times New Roman" w:hAnsi="Times New Roman" w:cs="Times New Roman"/>
                <w:b/>
                <w:bCs/>
                <w:i w:val="0"/>
                <w:color w:val="000000" w:themeColor="text1"/>
                <w:kern w:val="0"/>
                <w:sz w:val="21"/>
                <w:szCs w:val="21"/>
                <w:u w:val="none"/>
                <w:lang w:val="en-US" w:eastAsia="zh-CN" w:bidi="ar"/>
                <w14:textFill>
                  <w14:solidFill>
                    <w14:schemeClr w14:val="tx1"/>
                  </w14:solidFill>
                </w14:textFill>
              </w:rPr>
              <w:t>性</w:t>
            </w:r>
            <w:r>
              <w:rPr>
                <w:rFonts w:hint="default" w:ascii="Times New Roman" w:hAnsi="Times New Roman" w:eastAsia="宋体" w:cs="Times New Roman"/>
                <w:b/>
                <w:bCs/>
                <w:i w:val="0"/>
                <w:color w:val="000000" w:themeColor="text1"/>
                <w:kern w:val="0"/>
                <w:sz w:val="21"/>
                <w:szCs w:val="21"/>
                <w:u w:val="none"/>
                <w:lang w:val="en-US" w:eastAsia="zh-CN" w:bidi="ar"/>
                <w14:textFill>
                  <w14:solidFill>
                    <w14:schemeClr w14:val="tx1"/>
                  </w14:solidFill>
                </w14:textFill>
              </w:rPr>
              <w:t>审查内容</w:t>
            </w:r>
          </w:p>
        </w:tc>
        <w:tc>
          <w:tcPr>
            <w:tcW w:w="2295" w:type="dxa"/>
            <w:gridSpan w:val="3"/>
            <w:shd w:val="clear" w:color="auto" w:fill="auto"/>
            <w:vAlign w:val="center"/>
          </w:tcPr>
          <w:p w14:paraId="2EA1CD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color w:val="000000" w:themeColor="text1"/>
                <w:kern w:val="0"/>
                <w:sz w:val="21"/>
                <w:szCs w:val="21"/>
                <w:u w:val="none"/>
                <w:lang w:val="en-US" w:eastAsia="zh-CN" w:bidi="ar"/>
                <w14:textFill>
                  <w14:solidFill>
                    <w14:schemeClr w14:val="tx1"/>
                  </w14:solidFill>
                </w14:textFill>
              </w:rPr>
              <w:t>是否符合</w:t>
            </w:r>
          </w:p>
        </w:tc>
      </w:tr>
      <w:tr w14:paraId="7651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0" w:hRule="atLeast"/>
        </w:trPr>
        <w:tc>
          <w:tcPr>
            <w:tcW w:w="659" w:type="dxa"/>
            <w:vMerge w:val="continue"/>
            <w:shd w:val="clear" w:color="auto" w:fill="auto"/>
            <w:vAlign w:val="center"/>
          </w:tcPr>
          <w:p w14:paraId="5470D70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i w:val="0"/>
                <w:color w:val="000000" w:themeColor="text1"/>
                <w:sz w:val="21"/>
                <w:szCs w:val="21"/>
                <w:u w:val="none"/>
                <w14:textFill>
                  <w14:solidFill>
                    <w14:schemeClr w14:val="tx1"/>
                  </w14:solidFill>
                </w14:textFill>
              </w:rPr>
            </w:pPr>
          </w:p>
        </w:tc>
        <w:tc>
          <w:tcPr>
            <w:tcW w:w="5878" w:type="dxa"/>
            <w:vMerge w:val="continue"/>
            <w:shd w:val="clear" w:color="auto" w:fill="auto"/>
            <w:vAlign w:val="center"/>
          </w:tcPr>
          <w:p w14:paraId="550B63E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bCs/>
                <w:i w:val="0"/>
                <w:color w:val="000000" w:themeColor="text1"/>
                <w:sz w:val="21"/>
                <w:szCs w:val="21"/>
                <w:u w:val="none"/>
                <w14:textFill>
                  <w14:solidFill>
                    <w14:schemeClr w14:val="tx1"/>
                  </w14:solidFill>
                </w14:textFill>
              </w:rPr>
            </w:pPr>
          </w:p>
        </w:tc>
        <w:tc>
          <w:tcPr>
            <w:tcW w:w="750" w:type="dxa"/>
            <w:shd w:val="clear" w:color="auto" w:fill="auto"/>
            <w:vAlign w:val="center"/>
          </w:tcPr>
          <w:p w14:paraId="54A221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color w:val="000000" w:themeColor="text1"/>
                <w:kern w:val="0"/>
                <w:sz w:val="21"/>
                <w:szCs w:val="21"/>
                <w:u w:val="none"/>
                <w:lang w:val="en-US" w:eastAsia="zh-CN" w:bidi="ar"/>
                <w14:textFill>
                  <w14:solidFill>
                    <w14:schemeClr w14:val="tx1"/>
                  </w14:solidFill>
                </w14:textFill>
              </w:rPr>
              <w:t>A公司</w:t>
            </w:r>
          </w:p>
        </w:tc>
        <w:tc>
          <w:tcPr>
            <w:tcW w:w="705" w:type="dxa"/>
            <w:shd w:val="clear" w:color="auto" w:fill="auto"/>
            <w:vAlign w:val="center"/>
          </w:tcPr>
          <w:p w14:paraId="045B1C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color w:val="000000" w:themeColor="text1"/>
                <w:kern w:val="0"/>
                <w:sz w:val="21"/>
                <w:szCs w:val="21"/>
                <w:u w:val="none"/>
                <w:lang w:val="en-US" w:eastAsia="zh-CN" w:bidi="ar"/>
                <w14:textFill>
                  <w14:solidFill>
                    <w14:schemeClr w14:val="tx1"/>
                  </w14:solidFill>
                </w14:textFill>
              </w:rPr>
              <w:t>B公司</w:t>
            </w:r>
          </w:p>
        </w:tc>
        <w:tc>
          <w:tcPr>
            <w:tcW w:w="840" w:type="dxa"/>
            <w:shd w:val="clear" w:color="auto" w:fill="auto"/>
            <w:vAlign w:val="center"/>
          </w:tcPr>
          <w:p w14:paraId="4E4A81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color w:val="000000" w:themeColor="text1"/>
                <w:kern w:val="0"/>
                <w:sz w:val="21"/>
                <w:szCs w:val="21"/>
                <w:u w:val="none"/>
                <w:lang w:val="en-US" w:eastAsia="zh-CN" w:bidi="ar"/>
                <w14:textFill>
                  <w14:solidFill>
                    <w14:schemeClr w14:val="tx1"/>
                  </w14:solidFill>
                </w14:textFill>
              </w:rPr>
              <w:t>D公司</w:t>
            </w:r>
          </w:p>
        </w:tc>
      </w:tr>
      <w:tr w14:paraId="2E1D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116" w:hRule="atLeast"/>
        </w:trPr>
        <w:tc>
          <w:tcPr>
            <w:tcW w:w="659" w:type="dxa"/>
            <w:shd w:val="clear" w:color="auto" w:fill="auto"/>
            <w:vAlign w:val="center"/>
          </w:tcPr>
          <w:p w14:paraId="5A6FFB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themeColor="text1"/>
                <w:sz w:val="21"/>
                <w:szCs w:val="21"/>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1</w:t>
            </w:r>
          </w:p>
        </w:tc>
        <w:tc>
          <w:tcPr>
            <w:tcW w:w="5878" w:type="dxa"/>
            <w:shd w:val="clear" w:color="auto" w:fill="auto"/>
            <w:vAlign w:val="center"/>
          </w:tcPr>
          <w:p w14:paraId="2F597E3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color w:val="000000" w:themeColor="text1"/>
                <w:sz w:val="21"/>
                <w:szCs w:val="21"/>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营业执照（或事业单位法人证书，或社会团体法人登记证书，或执业许可证）、组织机构代码证和税务登记证（或三证合一证明）复印件。</w:t>
            </w:r>
          </w:p>
        </w:tc>
        <w:tc>
          <w:tcPr>
            <w:tcW w:w="750" w:type="dxa"/>
            <w:shd w:val="clear" w:color="auto" w:fill="auto"/>
            <w:vAlign w:val="center"/>
          </w:tcPr>
          <w:p w14:paraId="00563416">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705" w:type="dxa"/>
            <w:shd w:val="clear" w:color="auto" w:fill="auto"/>
            <w:vAlign w:val="center"/>
          </w:tcPr>
          <w:p w14:paraId="1DBDA30D">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840" w:type="dxa"/>
            <w:shd w:val="clear" w:color="auto" w:fill="auto"/>
            <w:vAlign w:val="center"/>
          </w:tcPr>
          <w:p w14:paraId="34DD2A1B">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r>
      <w:tr w14:paraId="127DD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80" w:hRule="atLeast"/>
        </w:trPr>
        <w:tc>
          <w:tcPr>
            <w:tcW w:w="659" w:type="dxa"/>
            <w:shd w:val="clear" w:color="auto" w:fill="auto"/>
            <w:vAlign w:val="center"/>
          </w:tcPr>
          <w:p w14:paraId="210938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2</w:t>
            </w:r>
          </w:p>
        </w:tc>
        <w:tc>
          <w:tcPr>
            <w:tcW w:w="5878" w:type="dxa"/>
            <w:shd w:val="clear" w:color="auto" w:fill="auto"/>
            <w:vAlign w:val="center"/>
          </w:tcPr>
          <w:p w14:paraId="3255DB7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有良好的商业信誉和健全的财务会计制度（提供证明材料）。</w:t>
            </w:r>
          </w:p>
        </w:tc>
        <w:tc>
          <w:tcPr>
            <w:tcW w:w="750" w:type="dxa"/>
            <w:shd w:val="clear" w:color="auto" w:fill="auto"/>
            <w:vAlign w:val="center"/>
          </w:tcPr>
          <w:p w14:paraId="0CDE0D8B">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705" w:type="dxa"/>
            <w:shd w:val="clear" w:color="auto" w:fill="auto"/>
            <w:vAlign w:val="center"/>
          </w:tcPr>
          <w:p w14:paraId="10DF14DC">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840" w:type="dxa"/>
            <w:shd w:val="clear" w:color="auto" w:fill="auto"/>
            <w:vAlign w:val="center"/>
          </w:tcPr>
          <w:p w14:paraId="0E8874E3">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r>
      <w:tr w14:paraId="5825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80" w:hRule="atLeast"/>
        </w:trPr>
        <w:tc>
          <w:tcPr>
            <w:tcW w:w="659" w:type="dxa"/>
            <w:shd w:val="clear" w:color="auto" w:fill="auto"/>
            <w:vAlign w:val="center"/>
          </w:tcPr>
          <w:p w14:paraId="0FCB10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3</w:t>
            </w:r>
          </w:p>
        </w:tc>
        <w:tc>
          <w:tcPr>
            <w:tcW w:w="5878" w:type="dxa"/>
            <w:shd w:val="clear" w:color="auto" w:fill="auto"/>
            <w:vAlign w:val="center"/>
          </w:tcPr>
          <w:p w14:paraId="6CDDBE1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具有履行合同所必需的设备和专业技术能力（提供承诺函并盖章）（提供设备清单及专业技术人员情况清单并盖章）。</w:t>
            </w:r>
          </w:p>
        </w:tc>
        <w:tc>
          <w:tcPr>
            <w:tcW w:w="750" w:type="dxa"/>
            <w:shd w:val="clear" w:color="auto" w:fill="auto"/>
            <w:vAlign w:val="center"/>
          </w:tcPr>
          <w:p w14:paraId="11054E65">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705" w:type="dxa"/>
            <w:shd w:val="clear" w:color="auto" w:fill="auto"/>
            <w:vAlign w:val="center"/>
          </w:tcPr>
          <w:p w14:paraId="72322FAF">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840" w:type="dxa"/>
            <w:shd w:val="clear" w:color="auto" w:fill="auto"/>
            <w:vAlign w:val="center"/>
          </w:tcPr>
          <w:p w14:paraId="36F11914">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r>
      <w:tr w14:paraId="6FC5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80" w:hRule="atLeast"/>
        </w:trPr>
        <w:tc>
          <w:tcPr>
            <w:tcW w:w="659" w:type="dxa"/>
            <w:shd w:val="clear" w:color="auto" w:fill="auto"/>
            <w:vAlign w:val="center"/>
          </w:tcPr>
          <w:p w14:paraId="3B067E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4</w:t>
            </w:r>
          </w:p>
        </w:tc>
        <w:tc>
          <w:tcPr>
            <w:tcW w:w="5878" w:type="dxa"/>
            <w:shd w:val="clear" w:color="auto" w:fill="auto"/>
            <w:vAlign w:val="center"/>
          </w:tcPr>
          <w:p w14:paraId="65D884C0">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有依法缴纳税收和社会保障资金的良好记录（提供证明材料）。</w:t>
            </w:r>
          </w:p>
        </w:tc>
        <w:tc>
          <w:tcPr>
            <w:tcW w:w="750" w:type="dxa"/>
            <w:shd w:val="clear" w:color="auto" w:fill="auto"/>
            <w:vAlign w:val="center"/>
          </w:tcPr>
          <w:p w14:paraId="055A9940">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705" w:type="dxa"/>
            <w:shd w:val="clear" w:color="auto" w:fill="auto"/>
            <w:vAlign w:val="center"/>
          </w:tcPr>
          <w:p w14:paraId="74801ECB">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840" w:type="dxa"/>
            <w:shd w:val="clear" w:color="auto" w:fill="auto"/>
            <w:vAlign w:val="center"/>
          </w:tcPr>
          <w:p w14:paraId="3006EF88">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r>
      <w:tr w14:paraId="25E9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80" w:hRule="atLeast"/>
        </w:trPr>
        <w:tc>
          <w:tcPr>
            <w:tcW w:w="659" w:type="dxa"/>
            <w:shd w:val="clear" w:color="auto" w:fill="auto"/>
            <w:vAlign w:val="center"/>
          </w:tcPr>
          <w:p w14:paraId="7CA32F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5</w:t>
            </w:r>
          </w:p>
        </w:tc>
        <w:tc>
          <w:tcPr>
            <w:tcW w:w="5878" w:type="dxa"/>
            <w:shd w:val="clear" w:color="auto" w:fill="auto"/>
            <w:vAlign w:val="center"/>
          </w:tcPr>
          <w:p w14:paraId="54A43F78">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参加政府采购活动前三年内，在经营活动中没有重大违法记录（可提供承诺函）。</w:t>
            </w:r>
          </w:p>
        </w:tc>
        <w:tc>
          <w:tcPr>
            <w:tcW w:w="750" w:type="dxa"/>
            <w:shd w:val="clear" w:color="auto" w:fill="auto"/>
            <w:vAlign w:val="center"/>
          </w:tcPr>
          <w:p w14:paraId="50A46420">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705" w:type="dxa"/>
            <w:shd w:val="clear" w:color="auto" w:fill="auto"/>
            <w:vAlign w:val="center"/>
          </w:tcPr>
          <w:p w14:paraId="00584882">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840" w:type="dxa"/>
            <w:shd w:val="clear" w:color="auto" w:fill="auto"/>
            <w:vAlign w:val="center"/>
          </w:tcPr>
          <w:p w14:paraId="66DAAADB">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r>
      <w:tr w14:paraId="2C5E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80" w:hRule="atLeast"/>
        </w:trPr>
        <w:tc>
          <w:tcPr>
            <w:tcW w:w="659" w:type="dxa"/>
            <w:shd w:val="clear" w:color="auto" w:fill="auto"/>
            <w:vAlign w:val="center"/>
          </w:tcPr>
          <w:p w14:paraId="557B9E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themeColor="text1"/>
                <w:sz w:val="21"/>
                <w:szCs w:val="21"/>
                <w:u w:val="none"/>
                <w:lang w:val="en-US" w:eastAsia="zh-CN"/>
                <w14:textFill>
                  <w14:solidFill>
                    <w14:schemeClr w14:val="tx1"/>
                  </w14:solidFill>
                </w14:textFill>
              </w:rPr>
            </w:pPr>
            <w:r>
              <w:rPr>
                <w:rFonts w:hint="default" w:ascii="Times New Roman" w:hAnsi="Times New Roman" w:eastAsia="仿宋_GB2312" w:cs="Times New Roman"/>
                <w:i w:val="0"/>
                <w:color w:val="000000" w:themeColor="text1"/>
                <w:sz w:val="21"/>
                <w:szCs w:val="21"/>
                <w:u w:val="none"/>
                <w:lang w:val="en-US" w:eastAsia="zh-CN"/>
                <w14:textFill>
                  <w14:solidFill>
                    <w14:schemeClr w14:val="tx1"/>
                  </w14:solidFill>
                </w14:textFill>
              </w:rPr>
              <w:t>6</w:t>
            </w:r>
          </w:p>
        </w:tc>
        <w:tc>
          <w:tcPr>
            <w:tcW w:w="5878" w:type="dxa"/>
            <w:shd w:val="clear" w:color="auto" w:fill="auto"/>
            <w:vAlign w:val="center"/>
          </w:tcPr>
          <w:p w14:paraId="2E394D0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color w:val="000000" w:themeColor="text1"/>
                <w:sz w:val="21"/>
                <w:szCs w:val="21"/>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响应函（如果是法定代表人亲自签署响应文件，则提供法定代表人证明书；如不是法定代表人亲自签署响应文件，则须提供法定代表人证明书及法定代表人的授权书，须提交且签字有效</w:t>
            </w:r>
            <w:bookmarkStart w:id="2" w:name="_GoBack"/>
            <w:bookmarkEnd w:id="2"/>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并加盖公章有效）。</w:t>
            </w:r>
          </w:p>
        </w:tc>
        <w:tc>
          <w:tcPr>
            <w:tcW w:w="750" w:type="dxa"/>
            <w:shd w:val="clear" w:color="auto" w:fill="auto"/>
            <w:vAlign w:val="center"/>
          </w:tcPr>
          <w:p w14:paraId="3CFFC1B1">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705" w:type="dxa"/>
            <w:shd w:val="clear" w:color="auto" w:fill="auto"/>
            <w:vAlign w:val="center"/>
          </w:tcPr>
          <w:p w14:paraId="03A7126C">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840" w:type="dxa"/>
            <w:shd w:val="clear" w:color="auto" w:fill="auto"/>
            <w:vAlign w:val="center"/>
          </w:tcPr>
          <w:p w14:paraId="0E29E33C">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r>
      <w:tr w14:paraId="33AE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48" w:hRule="atLeast"/>
        </w:trPr>
        <w:tc>
          <w:tcPr>
            <w:tcW w:w="659" w:type="dxa"/>
            <w:shd w:val="clear" w:color="auto" w:fill="auto"/>
            <w:vAlign w:val="center"/>
          </w:tcPr>
          <w:p w14:paraId="0994E3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themeColor="text1"/>
                <w:sz w:val="21"/>
                <w:szCs w:val="21"/>
                <w:u w:val="none"/>
                <w:lang w:val="en-US" w:eastAsia="zh-CN"/>
                <w14:textFill>
                  <w14:solidFill>
                    <w14:schemeClr w14:val="tx1"/>
                  </w14:solidFill>
                </w14:textFill>
              </w:rPr>
            </w:pPr>
            <w:r>
              <w:rPr>
                <w:rFonts w:hint="default" w:ascii="Times New Roman" w:hAnsi="Times New Roman" w:eastAsia="仿宋_GB2312" w:cs="Times New Roman"/>
                <w:i w:val="0"/>
                <w:color w:val="000000" w:themeColor="text1"/>
                <w:sz w:val="21"/>
                <w:szCs w:val="21"/>
                <w:u w:val="none"/>
                <w:lang w:val="en-US" w:eastAsia="zh-CN"/>
                <w14:textFill>
                  <w14:solidFill>
                    <w14:schemeClr w14:val="tx1"/>
                  </w14:solidFill>
                </w14:textFill>
              </w:rPr>
              <w:t>7</w:t>
            </w:r>
          </w:p>
        </w:tc>
        <w:tc>
          <w:tcPr>
            <w:tcW w:w="5878" w:type="dxa"/>
            <w:shd w:val="clear" w:color="auto" w:fill="auto"/>
            <w:vAlign w:val="center"/>
          </w:tcPr>
          <w:p w14:paraId="7F83A48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color w:val="000000" w:themeColor="text1"/>
                <w:sz w:val="21"/>
                <w:szCs w:val="21"/>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u w:val="none"/>
                <w:lang w:val="en-US" w:eastAsia="zh-CN" w:bidi="ar"/>
                <w14:textFill>
                  <w14:solidFill>
                    <w14:schemeClr w14:val="tx1"/>
                  </w14:solidFill>
                </w14:textFill>
              </w:rPr>
              <w:t>法定代表人证明书或法定代表人授权委托书、经办人复印件。</w:t>
            </w:r>
          </w:p>
        </w:tc>
        <w:tc>
          <w:tcPr>
            <w:tcW w:w="750" w:type="dxa"/>
            <w:shd w:val="clear" w:color="auto" w:fill="auto"/>
            <w:vAlign w:val="center"/>
          </w:tcPr>
          <w:p w14:paraId="08881026">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705" w:type="dxa"/>
            <w:shd w:val="clear" w:color="auto" w:fill="auto"/>
            <w:vAlign w:val="center"/>
          </w:tcPr>
          <w:p w14:paraId="4AEF2691">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c>
          <w:tcPr>
            <w:tcW w:w="840" w:type="dxa"/>
            <w:shd w:val="clear" w:color="auto" w:fill="auto"/>
            <w:vAlign w:val="center"/>
          </w:tcPr>
          <w:p w14:paraId="63336FC6">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仿宋_GB2312" w:cs="Times New Roman"/>
                <w:i w:val="0"/>
                <w:color w:val="000000" w:themeColor="text1"/>
                <w:sz w:val="21"/>
                <w:szCs w:val="21"/>
                <w:u w:val="none"/>
                <w14:textFill>
                  <w14:solidFill>
                    <w14:schemeClr w14:val="tx1"/>
                  </w14:solidFill>
                </w14:textFill>
              </w:rPr>
            </w:pPr>
          </w:p>
        </w:tc>
      </w:tr>
      <w:tr w14:paraId="7694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60" w:hRule="atLeast"/>
        </w:trPr>
        <w:tc>
          <w:tcPr>
            <w:tcW w:w="659" w:type="dxa"/>
            <w:shd w:val="clear" w:color="auto" w:fill="auto"/>
            <w:vAlign w:val="center"/>
          </w:tcPr>
          <w:p w14:paraId="5B5F31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color w:val="000000" w:themeColor="text1"/>
                <w:sz w:val="21"/>
                <w:szCs w:val="21"/>
                <w:u w:val="none"/>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结果</w:t>
            </w:r>
          </w:p>
        </w:tc>
        <w:tc>
          <w:tcPr>
            <w:tcW w:w="5878" w:type="dxa"/>
            <w:shd w:val="clear" w:color="auto" w:fill="auto"/>
            <w:vAlign w:val="center"/>
          </w:tcPr>
          <w:p w14:paraId="66C90644">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宋体" w:cs="Times New Roman"/>
                <w:i w:val="0"/>
                <w:color w:val="000000" w:themeColor="text1"/>
                <w:sz w:val="21"/>
                <w:szCs w:val="21"/>
                <w:u w:val="none"/>
                <w14:textFill>
                  <w14:solidFill>
                    <w14:schemeClr w14:val="tx1"/>
                  </w14:solidFill>
                </w14:textFill>
              </w:rPr>
            </w:pPr>
          </w:p>
        </w:tc>
        <w:tc>
          <w:tcPr>
            <w:tcW w:w="750" w:type="dxa"/>
            <w:shd w:val="clear" w:color="auto" w:fill="auto"/>
            <w:vAlign w:val="center"/>
          </w:tcPr>
          <w:p w14:paraId="4B906F11">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宋体" w:cs="Times New Roman"/>
                <w:i w:val="0"/>
                <w:color w:val="000000" w:themeColor="text1"/>
                <w:sz w:val="21"/>
                <w:szCs w:val="21"/>
                <w:u w:val="none"/>
                <w14:textFill>
                  <w14:solidFill>
                    <w14:schemeClr w14:val="tx1"/>
                  </w14:solidFill>
                </w14:textFill>
              </w:rPr>
            </w:pPr>
          </w:p>
        </w:tc>
        <w:tc>
          <w:tcPr>
            <w:tcW w:w="705" w:type="dxa"/>
            <w:shd w:val="clear" w:color="auto" w:fill="auto"/>
            <w:vAlign w:val="center"/>
          </w:tcPr>
          <w:p w14:paraId="66562066">
            <w:pPr>
              <w:keepNext w:val="0"/>
              <w:keepLines w:val="0"/>
              <w:pageBreakBefore w:val="0"/>
              <w:kinsoku/>
              <w:wordWrap/>
              <w:overflowPunct/>
              <w:topLinePunct w:val="0"/>
              <w:autoSpaceDE/>
              <w:autoSpaceDN/>
              <w:bidi w:val="0"/>
              <w:adjustRightInd/>
              <w:snapToGrid/>
              <w:spacing w:line="320" w:lineRule="exact"/>
              <w:jc w:val="both"/>
              <w:rPr>
                <w:rFonts w:hint="default" w:ascii="Times New Roman" w:hAnsi="Times New Roman" w:eastAsia="宋体" w:cs="Times New Roman"/>
                <w:i w:val="0"/>
                <w:color w:val="000000" w:themeColor="text1"/>
                <w:sz w:val="21"/>
                <w:szCs w:val="21"/>
                <w:u w:val="none"/>
                <w14:textFill>
                  <w14:solidFill>
                    <w14:schemeClr w14:val="tx1"/>
                  </w14:solidFill>
                </w14:textFill>
              </w:rPr>
            </w:pPr>
          </w:p>
        </w:tc>
        <w:tc>
          <w:tcPr>
            <w:tcW w:w="840" w:type="dxa"/>
            <w:shd w:val="clear" w:color="auto" w:fill="auto"/>
            <w:vAlign w:val="center"/>
          </w:tcPr>
          <w:p w14:paraId="6711F66F">
            <w:pPr>
              <w:keepNext w:val="0"/>
              <w:keepLines w:val="0"/>
              <w:pageBreakBefore w:val="0"/>
              <w:kinsoku/>
              <w:wordWrap/>
              <w:overflowPunct/>
              <w:topLinePunct w:val="0"/>
              <w:autoSpaceDE/>
              <w:autoSpaceDN/>
              <w:bidi w:val="0"/>
              <w:adjustRightInd/>
              <w:snapToGrid/>
              <w:spacing w:line="320" w:lineRule="exact"/>
              <w:rPr>
                <w:rFonts w:hint="default" w:ascii="Times New Roman" w:hAnsi="Times New Roman" w:eastAsia="宋体" w:cs="Times New Roman"/>
                <w:i w:val="0"/>
                <w:color w:val="000000" w:themeColor="text1"/>
                <w:sz w:val="21"/>
                <w:szCs w:val="21"/>
                <w:u w:val="none"/>
                <w14:textFill>
                  <w14:solidFill>
                    <w14:schemeClr w14:val="tx1"/>
                  </w14:solidFill>
                </w14:textFill>
              </w:rPr>
            </w:pPr>
          </w:p>
        </w:tc>
      </w:tr>
    </w:tbl>
    <w:p w14:paraId="692DFBD4">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以上</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资格性</w:t>
      </w:r>
      <w:r>
        <w:rPr>
          <w:rFonts w:hint="default" w:ascii="Times New Roman" w:hAnsi="Times New Roman" w:eastAsia="仿宋" w:cs="Times New Roman"/>
          <w:color w:val="000000" w:themeColor="text1"/>
          <w:sz w:val="32"/>
          <w:szCs w:val="32"/>
          <w14:textFill>
            <w14:solidFill>
              <w14:schemeClr w14:val="tx1"/>
            </w14:solidFill>
          </w14:textFill>
        </w:rPr>
        <w:t>审查项目评审标准为“通过”和“不通过”，通过的打“Ｏ”，不通过的打“×”。如对</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资格性</w:t>
      </w:r>
      <w:r>
        <w:rPr>
          <w:rFonts w:hint="default" w:ascii="Times New Roman" w:hAnsi="Times New Roman" w:eastAsia="仿宋" w:cs="Times New Roman"/>
          <w:color w:val="000000" w:themeColor="text1"/>
          <w:sz w:val="32"/>
          <w:szCs w:val="32"/>
          <w14:textFill>
            <w14:solidFill>
              <w14:schemeClr w14:val="tx1"/>
            </w14:solidFill>
          </w14:textFill>
        </w:rPr>
        <w:t>审查评审中有一项不能通过评审，则最终评审结果为“不通过”。</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通过的进入符合性评审环节。</w:t>
      </w:r>
    </w:p>
    <w:p w14:paraId="23962168">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lang w:val="en-US" w:eastAsia="zh-CN"/>
          <w14:textFill>
            <w14:solidFill>
              <w14:schemeClr w14:val="tx1"/>
            </w14:solidFill>
          </w14:textFill>
        </w:rPr>
        <w:t>2.对投标人符合性进行评审（见表2）</w:t>
      </w:r>
    </w:p>
    <w:p w14:paraId="57E3D769">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表</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 w:cs="Times New Roman"/>
          <w:color w:val="000000" w:themeColor="text1"/>
          <w:sz w:val="32"/>
          <w:szCs w:val="32"/>
          <w14:textFill>
            <w14:solidFill>
              <w14:schemeClr w14:val="tx1"/>
            </w14:solidFill>
          </w14:textFill>
        </w:rPr>
        <w:t>：符合性</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审查</w:t>
      </w:r>
      <w:r>
        <w:rPr>
          <w:rFonts w:hint="default" w:ascii="Times New Roman" w:hAnsi="Times New Roman" w:eastAsia="仿宋" w:cs="Times New Roman"/>
          <w:color w:val="000000" w:themeColor="text1"/>
          <w:sz w:val="32"/>
          <w:szCs w:val="32"/>
          <w14:textFill>
            <w14:solidFill>
              <w14:schemeClr w14:val="tx1"/>
            </w14:solidFill>
          </w14:textFill>
        </w:rPr>
        <w:t>表</w:t>
      </w:r>
    </w:p>
    <w:tbl>
      <w:tblPr>
        <w:tblStyle w:val="12"/>
        <w:tblW w:w="88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659"/>
        <w:gridCol w:w="5878"/>
        <w:gridCol w:w="750"/>
        <w:gridCol w:w="705"/>
        <w:gridCol w:w="840"/>
      </w:tblGrid>
      <w:tr w14:paraId="7F4D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5" w:hRule="atLeast"/>
        </w:trPr>
        <w:tc>
          <w:tcPr>
            <w:tcW w:w="659" w:type="dxa"/>
            <w:vMerge w:val="restart"/>
            <w:shd w:val="clear" w:color="auto" w:fill="auto"/>
            <w:vAlign w:val="center"/>
          </w:tcPr>
          <w:p w14:paraId="79950121">
            <w:pPr>
              <w:keepNext w:val="0"/>
              <w:keepLines w:val="0"/>
              <w:widowControl/>
              <w:suppressLineNumbers w:val="0"/>
              <w:spacing w:line="360" w:lineRule="auto"/>
              <w:jc w:val="center"/>
              <w:textAlignment w:val="center"/>
              <w:rPr>
                <w:rFonts w:hint="default" w:ascii="Times New Roman" w:hAnsi="Times New Roman" w:eastAsia="仿宋" w:cs="Times New Roman"/>
                <w:b/>
                <w:bCs/>
                <w:i w:val="0"/>
                <w:color w:val="000000" w:themeColor="text1"/>
                <w:sz w:val="24"/>
                <w:szCs w:val="24"/>
                <w:u w:val="none"/>
                <w14:textFill>
                  <w14:solidFill>
                    <w14:schemeClr w14:val="tx1"/>
                  </w14:solidFill>
                </w14:textFill>
              </w:rPr>
            </w:pPr>
            <w:r>
              <w:rPr>
                <w:rFonts w:hint="default" w:ascii="Times New Roman" w:hAnsi="Times New Roman" w:eastAsia="仿宋" w:cs="Times New Roman"/>
                <w:b/>
                <w:bCs/>
                <w:i w:val="0"/>
                <w:color w:val="000000" w:themeColor="text1"/>
                <w:kern w:val="0"/>
                <w:sz w:val="24"/>
                <w:szCs w:val="24"/>
                <w:u w:val="none"/>
                <w:lang w:val="en-US" w:eastAsia="zh-CN" w:bidi="ar"/>
                <w14:textFill>
                  <w14:solidFill>
                    <w14:schemeClr w14:val="tx1"/>
                  </w14:solidFill>
                </w14:textFill>
              </w:rPr>
              <w:t>序号</w:t>
            </w:r>
          </w:p>
        </w:tc>
        <w:tc>
          <w:tcPr>
            <w:tcW w:w="5878" w:type="dxa"/>
            <w:vMerge w:val="restart"/>
            <w:shd w:val="clear" w:color="auto" w:fill="auto"/>
            <w:vAlign w:val="center"/>
          </w:tcPr>
          <w:p w14:paraId="27B9B2C6">
            <w:pPr>
              <w:keepNext w:val="0"/>
              <w:keepLines w:val="0"/>
              <w:widowControl/>
              <w:suppressLineNumbers w:val="0"/>
              <w:spacing w:line="360" w:lineRule="auto"/>
              <w:jc w:val="center"/>
              <w:textAlignment w:val="center"/>
              <w:rPr>
                <w:rFonts w:hint="default" w:ascii="Times New Roman" w:hAnsi="Times New Roman" w:eastAsia="仿宋" w:cs="Times New Roman"/>
                <w:b/>
                <w:bCs/>
                <w:i w:val="0"/>
                <w:color w:val="000000" w:themeColor="text1"/>
                <w:sz w:val="24"/>
                <w:szCs w:val="24"/>
                <w:u w:val="none"/>
                <w14:textFill>
                  <w14:solidFill>
                    <w14:schemeClr w14:val="tx1"/>
                  </w14:solidFill>
                </w14:textFill>
              </w:rPr>
            </w:pPr>
            <w:r>
              <w:rPr>
                <w:rFonts w:hint="default" w:ascii="Times New Roman" w:hAnsi="Times New Roman" w:eastAsia="仿宋" w:cs="Times New Roman"/>
                <w:b/>
                <w:bCs/>
                <w:i w:val="0"/>
                <w:color w:val="000000" w:themeColor="text1"/>
                <w:kern w:val="0"/>
                <w:sz w:val="24"/>
                <w:szCs w:val="24"/>
                <w:u w:val="none"/>
                <w:lang w:val="en-US" w:eastAsia="zh-CN" w:bidi="ar"/>
                <w14:textFill>
                  <w14:solidFill>
                    <w14:schemeClr w14:val="tx1"/>
                  </w14:solidFill>
                </w14:textFill>
              </w:rPr>
              <w:t>资格审查内容</w:t>
            </w:r>
          </w:p>
        </w:tc>
        <w:tc>
          <w:tcPr>
            <w:tcW w:w="2295" w:type="dxa"/>
            <w:gridSpan w:val="3"/>
            <w:shd w:val="clear" w:color="auto" w:fill="auto"/>
            <w:vAlign w:val="center"/>
          </w:tcPr>
          <w:p w14:paraId="5A9DCD8A">
            <w:pPr>
              <w:keepNext w:val="0"/>
              <w:keepLines w:val="0"/>
              <w:widowControl/>
              <w:suppressLineNumbers w:val="0"/>
              <w:spacing w:line="360" w:lineRule="auto"/>
              <w:jc w:val="center"/>
              <w:textAlignment w:val="center"/>
              <w:rPr>
                <w:rFonts w:hint="default" w:ascii="Times New Roman" w:hAnsi="Times New Roman" w:eastAsia="仿宋" w:cs="Times New Roman"/>
                <w:b/>
                <w:bCs/>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仿宋" w:cs="Times New Roman"/>
                <w:b/>
                <w:bCs/>
                <w:i w:val="0"/>
                <w:color w:val="000000" w:themeColor="text1"/>
                <w:kern w:val="0"/>
                <w:sz w:val="24"/>
                <w:szCs w:val="24"/>
                <w:u w:val="none"/>
                <w:lang w:val="en-US" w:eastAsia="zh-CN" w:bidi="ar"/>
                <w14:textFill>
                  <w14:solidFill>
                    <w14:schemeClr w14:val="tx1"/>
                  </w14:solidFill>
                </w14:textFill>
              </w:rPr>
              <w:t>是否符合</w:t>
            </w:r>
          </w:p>
        </w:tc>
      </w:tr>
      <w:tr w14:paraId="65E0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0" w:hRule="atLeast"/>
        </w:trPr>
        <w:tc>
          <w:tcPr>
            <w:tcW w:w="659" w:type="dxa"/>
            <w:vMerge w:val="continue"/>
            <w:shd w:val="clear" w:color="auto" w:fill="auto"/>
            <w:vAlign w:val="center"/>
          </w:tcPr>
          <w:p w14:paraId="43ECE4A8">
            <w:pPr>
              <w:spacing w:line="360" w:lineRule="auto"/>
              <w:jc w:val="center"/>
              <w:rPr>
                <w:rFonts w:hint="default" w:ascii="Times New Roman" w:hAnsi="Times New Roman" w:eastAsia="仿宋" w:cs="Times New Roman"/>
                <w:b/>
                <w:bCs/>
                <w:i w:val="0"/>
                <w:color w:val="000000" w:themeColor="text1"/>
                <w:sz w:val="24"/>
                <w:szCs w:val="24"/>
                <w:u w:val="none"/>
                <w14:textFill>
                  <w14:solidFill>
                    <w14:schemeClr w14:val="tx1"/>
                  </w14:solidFill>
                </w14:textFill>
              </w:rPr>
            </w:pPr>
          </w:p>
        </w:tc>
        <w:tc>
          <w:tcPr>
            <w:tcW w:w="5878" w:type="dxa"/>
            <w:vMerge w:val="continue"/>
            <w:shd w:val="clear" w:color="auto" w:fill="auto"/>
            <w:vAlign w:val="center"/>
          </w:tcPr>
          <w:p w14:paraId="4770F31F">
            <w:pPr>
              <w:spacing w:line="360" w:lineRule="auto"/>
              <w:jc w:val="center"/>
              <w:rPr>
                <w:rFonts w:hint="default" w:ascii="Times New Roman" w:hAnsi="Times New Roman" w:eastAsia="仿宋" w:cs="Times New Roman"/>
                <w:b/>
                <w:bCs/>
                <w:i w:val="0"/>
                <w:color w:val="000000" w:themeColor="text1"/>
                <w:sz w:val="24"/>
                <w:szCs w:val="24"/>
                <w:u w:val="none"/>
                <w14:textFill>
                  <w14:solidFill>
                    <w14:schemeClr w14:val="tx1"/>
                  </w14:solidFill>
                </w14:textFill>
              </w:rPr>
            </w:pPr>
          </w:p>
        </w:tc>
        <w:tc>
          <w:tcPr>
            <w:tcW w:w="750" w:type="dxa"/>
            <w:shd w:val="clear" w:color="auto" w:fill="auto"/>
            <w:vAlign w:val="center"/>
          </w:tcPr>
          <w:p w14:paraId="488C7397">
            <w:pPr>
              <w:keepNext w:val="0"/>
              <w:keepLines w:val="0"/>
              <w:widowControl/>
              <w:suppressLineNumbers w:val="0"/>
              <w:spacing w:line="360" w:lineRule="auto"/>
              <w:jc w:val="center"/>
              <w:textAlignment w:val="center"/>
              <w:rPr>
                <w:rFonts w:hint="default" w:ascii="Times New Roman" w:hAnsi="Times New Roman" w:eastAsia="仿宋" w:cs="Times New Roman"/>
                <w:b/>
                <w:bCs/>
                <w:i w:val="0"/>
                <w:color w:val="000000" w:themeColor="text1"/>
                <w:sz w:val="24"/>
                <w:szCs w:val="24"/>
                <w:u w:val="none"/>
                <w14:textFill>
                  <w14:solidFill>
                    <w14:schemeClr w14:val="tx1"/>
                  </w14:solidFill>
                </w14:textFill>
              </w:rPr>
            </w:pPr>
            <w:r>
              <w:rPr>
                <w:rFonts w:hint="default" w:ascii="Times New Roman" w:hAnsi="Times New Roman" w:eastAsia="仿宋" w:cs="Times New Roman"/>
                <w:b/>
                <w:bCs/>
                <w:i w:val="0"/>
                <w:color w:val="000000" w:themeColor="text1"/>
                <w:kern w:val="0"/>
                <w:sz w:val="24"/>
                <w:szCs w:val="24"/>
                <w:u w:val="none"/>
                <w:lang w:val="en-US" w:eastAsia="zh-CN" w:bidi="ar"/>
                <w14:textFill>
                  <w14:solidFill>
                    <w14:schemeClr w14:val="tx1"/>
                  </w14:solidFill>
                </w14:textFill>
              </w:rPr>
              <w:t>A公司</w:t>
            </w:r>
          </w:p>
        </w:tc>
        <w:tc>
          <w:tcPr>
            <w:tcW w:w="705" w:type="dxa"/>
            <w:shd w:val="clear" w:color="auto" w:fill="auto"/>
            <w:vAlign w:val="center"/>
          </w:tcPr>
          <w:p w14:paraId="41EE8E5E">
            <w:pPr>
              <w:keepNext w:val="0"/>
              <w:keepLines w:val="0"/>
              <w:widowControl/>
              <w:suppressLineNumbers w:val="0"/>
              <w:spacing w:line="360" w:lineRule="auto"/>
              <w:jc w:val="center"/>
              <w:textAlignment w:val="center"/>
              <w:rPr>
                <w:rFonts w:hint="default" w:ascii="Times New Roman" w:hAnsi="Times New Roman" w:eastAsia="仿宋" w:cs="Times New Roman"/>
                <w:b/>
                <w:bCs/>
                <w:i w:val="0"/>
                <w:color w:val="000000" w:themeColor="text1"/>
                <w:sz w:val="24"/>
                <w:szCs w:val="24"/>
                <w:u w:val="none"/>
                <w14:textFill>
                  <w14:solidFill>
                    <w14:schemeClr w14:val="tx1"/>
                  </w14:solidFill>
                </w14:textFill>
              </w:rPr>
            </w:pPr>
            <w:r>
              <w:rPr>
                <w:rFonts w:hint="default" w:ascii="Times New Roman" w:hAnsi="Times New Roman" w:eastAsia="仿宋" w:cs="Times New Roman"/>
                <w:b/>
                <w:bCs/>
                <w:i w:val="0"/>
                <w:color w:val="000000" w:themeColor="text1"/>
                <w:kern w:val="0"/>
                <w:sz w:val="24"/>
                <w:szCs w:val="24"/>
                <w:u w:val="none"/>
                <w:lang w:val="en-US" w:eastAsia="zh-CN" w:bidi="ar"/>
                <w14:textFill>
                  <w14:solidFill>
                    <w14:schemeClr w14:val="tx1"/>
                  </w14:solidFill>
                </w14:textFill>
              </w:rPr>
              <w:t>B公司</w:t>
            </w:r>
          </w:p>
        </w:tc>
        <w:tc>
          <w:tcPr>
            <w:tcW w:w="840" w:type="dxa"/>
            <w:shd w:val="clear" w:color="auto" w:fill="auto"/>
            <w:vAlign w:val="center"/>
          </w:tcPr>
          <w:p w14:paraId="6EEB4CA4">
            <w:pPr>
              <w:keepNext w:val="0"/>
              <w:keepLines w:val="0"/>
              <w:widowControl/>
              <w:suppressLineNumbers w:val="0"/>
              <w:spacing w:line="360" w:lineRule="auto"/>
              <w:jc w:val="center"/>
              <w:textAlignment w:val="center"/>
              <w:rPr>
                <w:rFonts w:hint="default" w:ascii="Times New Roman" w:hAnsi="Times New Roman" w:eastAsia="仿宋" w:cs="Times New Roman"/>
                <w:b/>
                <w:bCs/>
                <w:i w:val="0"/>
                <w:color w:val="000000" w:themeColor="text1"/>
                <w:sz w:val="24"/>
                <w:szCs w:val="24"/>
                <w:u w:val="none"/>
                <w14:textFill>
                  <w14:solidFill>
                    <w14:schemeClr w14:val="tx1"/>
                  </w14:solidFill>
                </w14:textFill>
              </w:rPr>
            </w:pPr>
            <w:r>
              <w:rPr>
                <w:rFonts w:hint="default" w:ascii="Times New Roman" w:hAnsi="Times New Roman" w:eastAsia="仿宋" w:cs="Times New Roman"/>
                <w:b/>
                <w:bCs/>
                <w:i w:val="0"/>
                <w:color w:val="000000" w:themeColor="text1"/>
                <w:kern w:val="0"/>
                <w:sz w:val="24"/>
                <w:szCs w:val="24"/>
                <w:u w:val="none"/>
                <w:lang w:val="en-US" w:eastAsia="zh-CN" w:bidi="ar"/>
                <w14:textFill>
                  <w14:solidFill>
                    <w14:schemeClr w14:val="tx1"/>
                  </w14:solidFill>
                </w14:textFill>
              </w:rPr>
              <w:t>D公司</w:t>
            </w:r>
          </w:p>
        </w:tc>
      </w:tr>
      <w:tr w14:paraId="5479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80" w:hRule="atLeast"/>
        </w:trPr>
        <w:tc>
          <w:tcPr>
            <w:tcW w:w="659" w:type="dxa"/>
            <w:shd w:val="clear" w:color="auto" w:fill="auto"/>
            <w:vAlign w:val="center"/>
          </w:tcPr>
          <w:p w14:paraId="14046434">
            <w:pPr>
              <w:keepNext w:val="0"/>
              <w:keepLines w:val="0"/>
              <w:widowControl/>
              <w:suppressLineNumbers w:val="0"/>
              <w:spacing w:line="360" w:lineRule="auto"/>
              <w:jc w:val="center"/>
              <w:textAlignment w:val="center"/>
              <w:rPr>
                <w:rFonts w:hint="default" w:ascii="Times New Roman" w:hAnsi="Times New Roman" w:eastAsia="仿宋" w:cs="Times New Roman"/>
                <w:i w:val="0"/>
                <w:color w:val="000000" w:themeColor="text1"/>
                <w:sz w:val="24"/>
                <w:szCs w:val="24"/>
                <w:u w:val="none"/>
                <w14:textFill>
                  <w14:solidFill>
                    <w14:schemeClr w14:val="tx1"/>
                  </w14:solidFill>
                </w14:textFill>
              </w:rPr>
            </w:pPr>
            <w:r>
              <w:rPr>
                <w:rFonts w:hint="default" w:ascii="Times New Roman" w:hAnsi="Times New Roman" w:eastAsia="仿宋" w:cs="Times New Roman"/>
                <w:i w:val="0"/>
                <w:color w:val="000000" w:themeColor="text1"/>
                <w:kern w:val="0"/>
                <w:sz w:val="24"/>
                <w:szCs w:val="24"/>
                <w:u w:val="none"/>
                <w:lang w:val="en-US" w:eastAsia="zh-CN" w:bidi="ar"/>
                <w14:textFill>
                  <w14:solidFill>
                    <w14:schemeClr w14:val="tx1"/>
                  </w14:solidFill>
                </w14:textFill>
              </w:rPr>
              <w:t>1</w:t>
            </w:r>
          </w:p>
        </w:tc>
        <w:tc>
          <w:tcPr>
            <w:tcW w:w="5878" w:type="dxa"/>
            <w:shd w:val="clear" w:color="auto" w:fill="auto"/>
            <w:vAlign w:val="center"/>
          </w:tcPr>
          <w:p w14:paraId="5A1DB22F">
            <w:pPr>
              <w:keepNext w:val="0"/>
              <w:keepLines w:val="0"/>
              <w:widowControl/>
              <w:suppressLineNumbers w:val="0"/>
              <w:spacing w:line="360" w:lineRule="auto"/>
              <w:jc w:val="both"/>
              <w:textAlignment w:val="center"/>
              <w:rPr>
                <w:rFonts w:hint="default" w:ascii="Times New Roman" w:hAnsi="Times New Roman" w:eastAsia="仿宋" w:cs="Times New Roman"/>
                <w:i w:val="0"/>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服务方有履行合同所必需的设备和专业技术能力（提供设备清单及专业技术人员情况清单并盖章）</w:t>
            </w:r>
          </w:p>
        </w:tc>
        <w:tc>
          <w:tcPr>
            <w:tcW w:w="750" w:type="dxa"/>
            <w:shd w:val="clear" w:color="auto" w:fill="auto"/>
            <w:vAlign w:val="center"/>
          </w:tcPr>
          <w:p w14:paraId="69A82FDB">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705" w:type="dxa"/>
            <w:shd w:val="clear" w:color="auto" w:fill="auto"/>
            <w:vAlign w:val="center"/>
          </w:tcPr>
          <w:p w14:paraId="4DB35462">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840" w:type="dxa"/>
            <w:shd w:val="clear" w:color="auto" w:fill="auto"/>
            <w:vAlign w:val="center"/>
          </w:tcPr>
          <w:p w14:paraId="171809F1">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r>
      <w:tr w14:paraId="02FA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90" w:hRule="atLeast"/>
        </w:trPr>
        <w:tc>
          <w:tcPr>
            <w:tcW w:w="659" w:type="dxa"/>
            <w:shd w:val="clear" w:color="auto" w:fill="auto"/>
            <w:vAlign w:val="center"/>
          </w:tcPr>
          <w:p w14:paraId="483621D5">
            <w:pPr>
              <w:keepNext w:val="0"/>
              <w:keepLines w:val="0"/>
              <w:widowControl/>
              <w:suppressLineNumbers w:val="0"/>
              <w:spacing w:line="360" w:lineRule="auto"/>
              <w:jc w:val="center"/>
              <w:textAlignment w:val="center"/>
              <w:rPr>
                <w:rFonts w:hint="default" w:ascii="Times New Roman" w:hAnsi="Times New Roman" w:eastAsia="仿宋" w:cs="Times New Roman"/>
                <w:i w:val="0"/>
                <w:color w:val="000000" w:themeColor="text1"/>
                <w:sz w:val="24"/>
                <w:szCs w:val="24"/>
                <w:u w:val="none"/>
                <w14:textFill>
                  <w14:solidFill>
                    <w14:schemeClr w14:val="tx1"/>
                  </w14:solidFill>
                </w14:textFill>
              </w:rPr>
            </w:pPr>
            <w:r>
              <w:rPr>
                <w:rFonts w:hint="default" w:ascii="Times New Roman" w:hAnsi="Times New Roman" w:eastAsia="仿宋" w:cs="Times New Roman"/>
                <w:i w:val="0"/>
                <w:color w:val="000000" w:themeColor="text1"/>
                <w:kern w:val="0"/>
                <w:sz w:val="24"/>
                <w:szCs w:val="24"/>
                <w:u w:val="none"/>
                <w:lang w:val="en-US" w:eastAsia="zh-CN" w:bidi="ar"/>
                <w14:textFill>
                  <w14:solidFill>
                    <w14:schemeClr w14:val="tx1"/>
                  </w14:solidFill>
                </w14:textFill>
              </w:rPr>
              <w:t>2</w:t>
            </w:r>
          </w:p>
        </w:tc>
        <w:tc>
          <w:tcPr>
            <w:tcW w:w="5878" w:type="dxa"/>
            <w:shd w:val="clear" w:color="auto" w:fill="auto"/>
            <w:vAlign w:val="center"/>
          </w:tcPr>
          <w:p w14:paraId="15848E58">
            <w:pPr>
              <w:pStyle w:val="8"/>
              <w:numPr>
                <w:ilvl w:val="0"/>
                <w:numId w:val="0"/>
              </w:numPr>
              <w:spacing w:line="360" w:lineRule="auto"/>
              <w:ind w:left="0" w:leftChars="0" w:firstLine="0" w:firstLineChars="0"/>
              <w:rPr>
                <w:rFonts w:hint="default" w:ascii="Times New Roman" w:hAnsi="Times New Roman" w:eastAsia="仿宋"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出具检定/校准证书的机构，应有法定资格，具备校准和检定能力，具备有效的CMA（或CMAF）证书、CNAS校准实验室证书。（提供承诺函并盖章）</w:t>
            </w:r>
          </w:p>
        </w:tc>
        <w:tc>
          <w:tcPr>
            <w:tcW w:w="750" w:type="dxa"/>
            <w:shd w:val="clear" w:color="auto" w:fill="auto"/>
            <w:vAlign w:val="center"/>
          </w:tcPr>
          <w:p w14:paraId="4E098002">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705" w:type="dxa"/>
            <w:shd w:val="clear" w:color="auto" w:fill="auto"/>
            <w:vAlign w:val="center"/>
          </w:tcPr>
          <w:p w14:paraId="41D5AE98">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840" w:type="dxa"/>
            <w:shd w:val="clear" w:color="auto" w:fill="auto"/>
            <w:vAlign w:val="center"/>
          </w:tcPr>
          <w:p w14:paraId="44CB22D1">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r>
      <w:tr w14:paraId="5E216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0" w:hRule="atLeast"/>
        </w:trPr>
        <w:tc>
          <w:tcPr>
            <w:tcW w:w="659" w:type="dxa"/>
            <w:shd w:val="clear" w:color="auto" w:fill="auto"/>
            <w:vAlign w:val="center"/>
          </w:tcPr>
          <w:p w14:paraId="20C2BA8A">
            <w:pPr>
              <w:keepNext w:val="0"/>
              <w:keepLines w:val="0"/>
              <w:widowControl/>
              <w:suppressLineNumbers w:val="0"/>
              <w:spacing w:line="360" w:lineRule="auto"/>
              <w:jc w:val="center"/>
              <w:textAlignment w:val="center"/>
              <w:rPr>
                <w:rFonts w:hint="default" w:ascii="Times New Roman" w:hAnsi="Times New Roman" w:eastAsia="仿宋"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24"/>
                <w:szCs w:val="24"/>
                <w:u w:val="none"/>
                <w:lang w:val="en-US" w:eastAsia="zh-CN" w:bidi="ar"/>
                <w14:textFill>
                  <w14:solidFill>
                    <w14:schemeClr w14:val="tx1"/>
                  </w14:solidFill>
                </w14:textFill>
              </w:rPr>
              <w:t>3</w:t>
            </w:r>
          </w:p>
        </w:tc>
        <w:tc>
          <w:tcPr>
            <w:tcW w:w="5878" w:type="dxa"/>
            <w:shd w:val="clear" w:color="auto" w:fill="auto"/>
            <w:vAlign w:val="center"/>
          </w:tcPr>
          <w:p w14:paraId="357A1353">
            <w:pPr>
              <w:keepNext w:val="0"/>
              <w:keepLines w:val="0"/>
              <w:widowControl/>
              <w:suppressLineNumbers w:val="0"/>
              <w:spacing w:line="360" w:lineRule="auto"/>
              <w:jc w:val="both"/>
              <w:textAlignment w:val="center"/>
              <w:rPr>
                <w:rFonts w:hint="default" w:ascii="Times New Roman" w:hAnsi="Times New Roman" w:eastAsia="仿宋" w:cs="Times New Roman"/>
                <w:i w:val="0"/>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仿宋" w:cs="Times New Roman"/>
                <w:i w:val="0"/>
                <w:color w:val="000000" w:themeColor="text1"/>
                <w:kern w:val="0"/>
                <w:sz w:val="24"/>
                <w:szCs w:val="24"/>
                <w:u w:val="none"/>
                <w:lang w:val="en-US" w:eastAsia="zh-CN" w:bidi="ar"/>
                <w14:textFill>
                  <w14:solidFill>
                    <w14:schemeClr w14:val="tx1"/>
                  </w14:solidFill>
                </w14:textFill>
              </w:rPr>
              <w:t>报价表</w:t>
            </w:r>
          </w:p>
        </w:tc>
        <w:tc>
          <w:tcPr>
            <w:tcW w:w="750" w:type="dxa"/>
            <w:shd w:val="clear" w:color="auto" w:fill="auto"/>
            <w:vAlign w:val="center"/>
          </w:tcPr>
          <w:p w14:paraId="44BA3C02">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705" w:type="dxa"/>
            <w:shd w:val="clear" w:color="auto" w:fill="auto"/>
            <w:vAlign w:val="center"/>
          </w:tcPr>
          <w:p w14:paraId="068614E2">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840" w:type="dxa"/>
            <w:shd w:val="clear" w:color="auto" w:fill="auto"/>
            <w:vAlign w:val="center"/>
          </w:tcPr>
          <w:p w14:paraId="759E2269">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r>
      <w:tr w14:paraId="34E1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61" w:hRule="atLeast"/>
        </w:trPr>
        <w:tc>
          <w:tcPr>
            <w:tcW w:w="659" w:type="dxa"/>
            <w:shd w:val="clear" w:color="auto" w:fill="auto"/>
            <w:vAlign w:val="center"/>
          </w:tcPr>
          <w:p w14:paraId="537CBECF">
            <w:pPr>
              <w:keepNext w:val="0"/>
              <w:keepLines w:val="0"/>
              <w:widowControl/>
              <w:suppressLineNumbers w:val="0"/>
              <w:spacing w:line="360" w:lineRule="auto"/>
              <w:jc w:val="center"/>
              <w:textAlignment w:val="center"/>
              <w:rPr>
                <w:rFonts w:hint="default" w:ascii="Times New Roman" w:hAnsi="Times New Roman" w:eastAsia="仿宋" w:cs="Times New Roman"/>
                <w:i w:val="0"/>
                <w:color w:val="000000" w:themeColor="text1"/>
                <w:sz w:val="24"/>
                <w:szCs w:val="24"/>
                <w:u w:val="none"/>
                <w:lang w:val="en-US" w:eastAsia="zh-CN"/>
                <w14:textFill>
                  <w14:solidFill>
                    <w14:schemeClr w14:val="tx1"/>
                  </w14:solidFill>
                </w14:textFill>
              </w:rPr>
            </w:pPr>
            <w:r>
              <w:rPr>
                <w:rFonts w:hint="default" w:ascii="Times New Roman" w:hAnsi="Times New Roman" w:eastAsia="仿宋" w:cs="Times New Roman"/>
                <w:i w:val="0"/>
                <w:color w:val="000000" w:themeColor="text1"/>
                <w:sz w:val="24"/>
                <w:szCs w:val="24"/>
                <w:u w:val="none"/>
                <w:lang w:val="en-US" w:eastAsia="zh-CN"/>
                <w14:textFill>
                  <w14:solidFill>
                    <w14:schemeClr w14:val="tx1"/>
                  </w14:solidFill>
                </w14:textFill>
              </w:rPr>
              <w:t>4</w:t>
            </w:r>
          </w:p>
        </w:tc>
        <w:tc>
          <w:tcPr>
            <w:tcW w:w="5878" w:type="dxa"/>
            <w:shd w:val="clear" w:color="auto" w:fill="auto"/>
            <w:vAlign w:val="center"/>
          </w:tcPr>
          <w:p w14:paraId="0D6F207D">
            <w:pPr>
              <w:keepNext w:val="0"/>
              <w:keepLines w:val="0"/>
              <w:widowControl/>
              <w:suppressLineNumbers w:val="0"/>
              <w:spacing w:line="360" w:lineRule="auto"/>
              <w:jc w:val="both"/>
              <w:textAlignment w:val="center"/>
              <w:rPr>
                <w:rFonts w:hint="default" w:ascii="Times New Roman" w:hAnsi="Times New Roman" w:eastAsia="仿宋"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24"/>
                <w:szCs w:val="24"/>
                <w:u w:val="none"/>
                <w:lang w:val="en-US" w:eastAsia="zh-CN" w:bidi="ar"/>
                <w14:textFill>
                  <w14:solidFill>
                    <w14:schemeClr w14:val="tx1"/>
                  </w14:solidFill>
                </w14:textFill>
              </w:rPr>
              <w:t>其他相关文件（1.服务机构情况简介2.服务方案）</w:t>
            </w:r>
          </w:p>
        </w:tc>
        <w:tc>
          <w:tcPr>
            <w:tcW w:w="750" w:type="dxa"/>
            <w:shd w:val="clear" w:color="auto" w:fill="auto"/>
            <w:vAlign w:val="center"/>
          </w:tcPr>
          <w:p w14:paraId="0F90E8A3">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705" w:type="dxa"/>
            <w:shd w:val="clear" w:color="auto" w:fill="auto"/>
            <w:vAlign w:val="center"/>
          </w:tcPr>
          <w:p w14:paraId="797DD66D">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840" w:type="dxa"/>
            <w:shd w:val="clear" w:color="auto" w:fill="auto"/>
            <w:vAlign w:val="center"/>
          </w:tcPr>
          <w:p w14:paraId="73448E89">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r>
      <w:tr w14:paraId="1E70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50" w:hRule="atLeast"/>
        </w:trPr>
        <w:tc>
          <w:tcPr>
            <w:tcW w:w="659" w:type="dxa"/>
            <w:shd w:val="clear" w:color="auto" w:fill="auto"/>
            <w:vAlign w:val="center"/>
          </w:tcPr>
          <w:p w14:paraId="7161B266">
            <w:pPr>
              <w:keepNext w:val="0"/>
              <w:keepLines w:val="0"/>
              <w:widowControl/>
              <w:suppressLineNumbers w:val="0"/>
              <w:spacing w:line="360" w:lineRule="auto"/>
              <w:jc w:val="center"/>
              <w:textAlignment w:val="center"/>
              <w:rPr>
                <w:rFonts w:hint="default" w:ascii="Times New Roman" w:hAnsi="Times New Roman" w:eastAsia="仿宋" w:cs="Times New Roman"/>
                <w:i w:val="0"/>
                <w:color w:val="000000" w:themeColor="text1"/>
                <w:sz w:val="24"/>
                <w:szCs w:val="24"/>
                <w:u w:val="none"/>
                <w:lang w:val="en-US" w:eastAsia="zh-CN"/>
                <w14:textFill>
                  <w14:solidFill>
                    <w14:schemeClr w14:val="tx1"/>
                  </w14:solidFill>
                </w14:textFill>
              </w:rPr>
            </w:pPr>
            <w:r>
              <w:rPr>
                <w:rFonts w:hint="default" w:ascii="Times New Roman" w:hAnsi="Times New Roman" w:eastAsia="仿宋" w:cs="Times New Roman"/>
                <w:i w:val="0"/>
                <w:color w:val="000000" w:themeColor="text1"/>
                <w:sz w:val="24"/>
                <w:szCs w:val="24"/>
                <w:u w:val="none"/>
                <w:lang w:val="en-US" w:eastAsia="zh-CN"/>
                <w14:textFill>
                  <w14:solidFill>
                    <w14:schemeClr w14:val="tx1"/>
                  </w14:solidFill>
                </w14:textFill>
              </w:rPr>
              <w:t>5</w:t>
            </w:r>
          </w:p>
        </w:tc>
        <w:tc>
          <w:tcPr>
            <w:tcW w:w="5878" w:type="dxa"/>
            <w:shd w:val="clear" w:color="auto" w:fill="auto"/>
            <w:vAlign w:val="center"/>
          </w:tcPr>
          <w:p w14:paraId="40C1E3CF">
            <w:pPr>
              <w:keepNext w:val="0"/>
              <w:keepLines w:val="0"/>
              <w:widowControl/>
              <w:suppressLineNumbers w:val="0"/>
              <w:spacing w:line="360" w:lineRule="auto"/>
              <w:jc w:val="both"/>
              <w:textAlignment w:val="center"/>
              <w:rPr>
                <w:rFonts w:hint="default" w:ascii="Times New Roman" w:hAnsi="Times New Roman" w:eastAsia="仿宋" w:cs="Times New Roman"/>
                <w:i w:val="0"/>
                <w:color w:val="000000" w:themeColor="text1"/>
                <w:kern w:val="0"/>
                <w:sz w:val="24"/>
                <w:szCs w:val="24"/>
                <w:u w:val="none"/>
                <w:lang w:val="en-US" w:eastAsia="zh-CN" w:bidi="ar"/>
                <w14:textFill>
                  <w14:solidFill>
                    <w14:schemeClr w14:val="tx1"/>
                  </w14:solidFill>
                </w14:textFill>
              </w:rPr>
            </w:pPr>
          </w:p>
        </w:tc>
        <w:tc>
          <w:tcPr>
            <w:tcW w:w="750" w:type="dxa"/>
            <w:shd w:val="clear" w:color="auto" w:fill="auto"/>
            <w:vAlign w:val="center"/>
          </w:tcPr>
          <w:p w14:paraId="0FEA2F79">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705" w:type="dxa"/>
            <w:shd w:val="clear" w:color="auto" w:fill="auto"/>
            <w:vAlign w:val="center"/>
          </w:tcPr>
          <w:p w14:paraId="55C4526E">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840" w:type="dxa"/>
            <w:shd w:val="clear" w:color="auto" w:fill="auto"/>
            <w:vAlign w:val="center"/>
          </w:tcPr>
          <w:p w14:paraId="6C9F363D">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r>
      <w:tr w14:paraId="4F89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0" w:hRule="atLeast"/>
        </w:trPr>
        <w:tc>
          <w:tcPr>
            <w:tcW w:w="659" w:type="dxa"/>
            <w:shd w:val="clear" w:color="auto" w:fill="auto"/>
            <w:vAlign w:val="center"/>
          </w:tcPr>
          <w:p w14:paraId="31074BF4">
            <w:pPr>
              <w:keepNext w:val="0"/>
              <w:keepLines w:val="0"/>
              <w:widowControl/>
              <w:suppressLineNumbers w:val="0"/>
              <w:spacing w:line="360" w:lineRule="auto"/>
              <w:jc w:val="center"/>
              <w:textAlignment w:val="center"/>
              <w:rPr>
                <w:rFonts w:hint="default" w:ascii="Times New Roman" w:hAnsi="Times New Roman" w:eastAsia="仿宋" w:cs="Times New Roman"/>
                <w:i w:val="0"/>
                <w:color w:val="000000" w:themeColor="text1"/>
                <w:sz w:val="24"/>
                <w:szCs w:val="24"/>
                <w:u w:val="none"/>
                <w:lang w:val="en-US" w:eastAsia="zh-CN"/>
                <w14:textFill>
                  <w14:solidFill>
                    <w14:schemeClr w14:val="tx1"/>
                  </w14:solidFill>
                </w14:textFill>
              </w:rPr>
            </w:pPr>
            <w:r>
              <w:rPr>
                <w:rFonts w:hint="default" w:ascii="Times New Roman" w:hAnsi="Times New Roman" w:eastAsia="仿宋" w:cs="Times New Roman"/>
                <w:i w:val="0"/>
                <w:color w:val="000000" w:themeColor="text1"/>
                <w:sz w:val="24"/>
                <w:szCs w:val="24"/>
                <w:u w:val="none"/>
                <w:lang w:val="en-US" w:eastAsia="zh-CN"/>
                <w14:textFill>
                  <w14:solidFill>
                    <w14:schemeClr w14:val="tx1"/>
                  </w14:solidFill>
                </w14:textFill>
              </w:rPr>
              <w:t>6</w:t>
            </w:r>
          </w:p>
        </w:tc>
        <w:tc>
          <w:tcPr>
            <w:tcW w:w="5878" w:type="dxa"/>
            <w:shd w:val="clear" w:color="auto" w:fill="auto"/>
            <w:vAlign w:val="center"/>
          </w:tcPr>
          <w:p w14:paraId="15F36F7E">
            <w:pPr>
              <w:keepNext w:val="0"/>
              <w:keepLines w:val="0"/>
              <w:widowControl/>
              <w:suppressLineNumbers w:val="0"/>
              <w:spacing w:line="360" w:lineRule="auto"/>
              <w:jc w:val="both"/>
              <w:textAlignment w:val="center"/>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750" w:type="dxa"/>
            <w:shd w:val="clear" w:color="auto" w:fill="auto"/>
            <w:vAlign w:val="center"/>
          </w:tcPr>
          <w:p w14:paraId="0196F826">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705" w:type="dxa"/>
            <w:shd w:val="clear" w:color="auto" w:fill="auto"/>
            <w:vAlign w:val="center"/>
          </w:tcPr>
          <w:p w14:paraId="63EFCCA8">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840" w:type="dxa"/>
            <w:shd w:val="clear" w:color="auto" w:fill="auto"/>
            <w:vAlign w:val="center"/>
          </w:tcPr>
          <w:p w14:paraId="6434FD72">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r>
      <w:tr w14:paraId="1BAC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atLeast"/>
        </w:trPr>
        <w:tc>
          <w:tcPr>
            <w:tcW w:w="659" w:type="dxa"/>
            <w:shd w:val="clear" w:color="auto" w:fill="auto"/>
            <w:vAlign w:val="center"/>
          </w:tcPr>
          <w:p w14:paraId="40ED4B19">
            <w:pPr>
              <w:keepNext w:val="0"/>
              <w:keepLines w:val="0"/>
              <w:widowControl/>
              <w:suppressLineNumbers w:val="0"/>
              <w:spacing w:line="360" w:lineRule="auto"/>
              <w:jc w:val="center"/>
              <w:textAlignment w:val="center"/>
              <w:rPr>
                <w:rFonts w:hint="default" w:ascii="Times New Roman" w:hAnsi="Times New Roman" w:eastAsia="仿宋" w:cs="Times New Roman"/>
                <w:i w:val="0"/>
                <w:color w:val="000000" w:themeColor="text1"/>
                <w:sz w:val="24"/>
                <w:szCs w:val="24"/>
                <w:u w:val="none"/>
                <w14:textFill>
                  <w14:solidFill>
                    <w14:schemeClr w14:val="tx1"/>
                  </w14:solidFill>
                </w14:textFill>
              </w:rPr>
            </w:pPr>
            <w:r>
              <w:rPr>
                <w:rFonts w:hint="default" w:ascii="Times New Roman" w:hAnsi="Times New Roman" w:eastAsia="仿宋" w:cs="Times New Roman"/>
                <w:i w:val="0"/>
                <w:color w:val="000000" w:themeColor="text1"/>
                <w:kern w:val="0"/>
                <w:sz w:val="24"/>
                <w:szCs w:val="24"/>
                <w:u w:val="none"/>
                <w:lang w:val="en-US" w:eastAsia="zh-CN" w:bidi="ar"/>
                <w14:textFill>
                  <w14:solidFill>
                    <w14:schemeClr w14:val="tx1"/>
                  </w14:solidFill>
                </w14:textFill>
              </w:rPr>
              <w:t>结果</w:t>
            </w:r>
          </w:p>
        </w:tc>
        <w:tc>
          <w:tcPr>
            <w:tcW w:w="5878" w:type="dxa"/>
            <w:shd w:val="clear" w:color="auto" w:fill="auto"/>
            <w:vAlign w:val="center"/>
          </w:tcPr>
          <w:p w14:paraId="31F92032">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750" w:type="dxa"/>
            <w:shd w:val="clear" w:color="auto" w:fill="auto"/>
            <w:vAlign w:val="center"/>
          </w:tcPr>
          <w:p w14:paraId="0AA7AA59">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705" w:type="dxa"/>
            <w:shd w:val="clear" w:color="auto" w:fill="auto"/>
            <w:vAlign w:val="center"/>
          </w:tcPr>
          <w:p w14:paraId="67E4DF39">
            <w:pPr>
              <w:spacing w:line="360" w:lineRule="auto"/>
              <w:jc w:val="both"/>
              <w:rPr>
                <w:rFonts w:hint="default" w:ascii="Times New Roman" w:hAnsi="Times New Roman" w:eastAsia="仿宋" w:cs="Times New Roman"/>
                <w:i w:val="0"/>
                <w:color w:val="000000" w:themeColor="text1"/>
                <w:sz w:val="24"/>
                <w:szCs w:val="24"/>
                <w:u w:val="none"/>
                <w14:textFill>
                  <w14:solidFill>
                    <w14:schemeClr w14:val="tx1"/>
                  </w14:solidFill>
                </w14:textFill>
              </w:rPr>
            </w:pPr>
          </w:p>
        </w:tc>
        <w:tc>
          <w:tcPr>
            <w:tcW w:w="840" w:type="dxa"/>
            <w:shd w:val="clear" w:color="auto" w:fill="auto"/>
            <w:vAlign w:val="center"/>
          </w:tcPr>
          <w:p w14:paraId="536EE980">
            <w:pPr>
              <w:spacing w:line="360" w:lineRule="auto"/>
              <w:rPr>
                <w:rFonts w:hint="default" w:ascii="Times New Roman" w:hAnsi="Times New Roman" w:eastAsia="仿宋" w:cs="Times New Roman"/>
                <w:i w:val="0"/>
                <w:color w:val="000000" w:themeColor="text1"/>
                <w:sz w:val="24"/>
                <w:szCs w:val="24"/>
                <w:u w:val="none"/>
                <w14:textFill>
                  <w14:solidFill>
                    <w14:schemeClr w14:val="tx1"/>
                  </w14:solidFill>
                </w14:textFill>
              </w:rPr>
            </w:pPr>
          </w:p>
        </w:tc>
      </w:tr>
    </w:tbl>
    <w:p w14:paraId="79B6221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color w:val="000000" w:themeColor="text1"/>
          <w:sz w:val="32"/>
          <w:szCs w:val="32"/>
          <w14:textFill>
            <w14:solidFill>
              <w14:schemeClr w14:val="tx1"/>
            </w14:solidFill>
          </w14:textFill>
        </w:rPr>
        <w:t>以上符合性审查项目评审标准为“通过”和“不</w:t>
      </w:r>
      <w:r>
        <w:rPr>
          <w:rFonts w:hint="default" w:ascii="Times New Roman" w:hAnsi="Times New Roman" w:eastAsia="仿宋" w:cs="Times New Roman"/>
          <w:sz w:val="32"/>
          <w:szCs w:val="32"/>
        </w:rPr>
        <w:t>通过”，通过的打“Ｏ”，不通过的打“×”。如对符合性审查评审中有一项不能通过评审，则最终评审结果为“不通过”。</w:t>
      </w:r>
      <w:r>
        <w:rPr>
          <w:rFonts w:hint="default" w:ascii="Times New Roman" w:hAnsi="Times New Roman" w:eastAsia="仿宋" w:cs="Times New Roman"/>
          <w:sz w:val="32"/>
          <w:szCs w:val="32"/>
          <w:lang w:val="en-US" w:eastAsia="zh-CN"/>
        </w:rPr>
        <w:t>通过的进入报价评审环节。</w:t>
      </w:r>
    </w:p>
    <w:p w14:paraId="65B70575">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楷体" w:cs="Times New Roman"/>
          <w:b w:val="0"/>
          <w:bCs w:val="0"/>
          <w:sz w:val="32"/>
          <w:szCs w:val="32"/>
        </w:rPr>
        <w:t>（二）</w:t>
      </w:r>
      <w:r>
        <w:rPr>
          <w:rFonts w:hint="default" w:ascii="Times New Roman" w:hAnsi="Times New Roman" w:eastAsia="楷体" w:cs="Times New Roman"/>
          <w:b w:val="0"/>
          <w:bCs w:val="0"/>
          <w:sz w:val="32"/>
          <w:szCs w:val="32"/>
          <w:lang w:val="en-US" w:eastAsia="zh-CN"/>
        </w:rPr>
        <w:t>报价评审</w:t>
      </w:r>
    </w:p>
    <w:p w14:paraId="25BD697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评委对投标人进行符合性审查</w:t>
      </w:r>
      <w:r>
        <w:rPr>
          <w:rFonts w:hint="eastAsia" w:ascii="Times New Roman" w:hAnsi="Times New Roman" w:eastAsia="仿宋" w:cs="Times New Roman"/>
          <w:sz w:val="32"/>
          <w:szCs w:val="32"/>
          <w:lang w:val="en-US" w:eastAsia="zh-CN"/>
        </w:rPr>
        <w:t>，在</w:t>
      </w:r>
      <w:r>
        <w:rPr>
          <w:rFonts w:hint="default" w:ascii="Times New Roman" w:hAnsi="Times New Roman" w:eastAsia="仿宋" w:cs="Times New Roman"/>
          <w:sz w:val="32"/>
          <w:szCs w:val="32"/>
          <w:lang w:val="en-US" w:eastAsia="zh-CN"/>
        </w:rPr>
        <w:t>同等条件下，选取报价最低的投标人。</w:t>
      </w:r>
    </w:p>
    <w:p w14:paraId="2589DD02">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 w:cs="Times New Roman"/>
          <w:sz w:val="32"/>
          <w:szCs w:val="32"/>
        </w:rPr>
        <w:t>表</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报价评审表</w:t>
      </w:r>
    </w:p>
    <w:tbl>
      <w:tblPr>
        <w:tblStyle w:val="1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4272"/>
        <w:gridCol w:w="1908"/>
        <w:gridCol w:w="1475"/>
      </w:tblGrid>
      <w:tr w14:paraId="1EC2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vAlign w:val="center"/>
          </w:tcPr>
          <w:p w14:paraId="361CF1F8">
            <w:pPr>
              <w:spacing w:line="480" w:lineRule="exact"/>
              <w:jc w:val="center"/>
              <w:rPr>
                <w:rFonts w:hint="default" w:ascii="Times New Roman" w:hAnsi="Times New Roman" w:eastAsia="仿宋" w:cs="Times New Roman"/>
                <w:b/>
                <w:bCs/>
                <w:sz w:val="32"/>
                <w:szCs w:val="32"/>
                <w:vertAlign w:val="baseline"/>
                <w:lang w:val="en-US" w:eastAsia="zh-CN"/>
              </w:rPr>
            </w:pPr>
            <w:r>
              <w:rPr>
                <w:rFonts w:hint="default" w:ascii="Times New Roman" w:hAnsi="Times New Roman" w:eastAsia="仿宋" w:cs="Times New Roman"/>
                <w:b/>
                <w:bCs/>
                <w:sz w:val="32"/>
                <w:szCs w:val="32"/>
              </w:rPr>
              <w:t>序号</w:t>
            </w:r>
          </w:p>
        </w:tc>
        <w:tc>
          <w:tcPr>
            <w:tcW w:w="4272" w:type="dxa"/>
            <w:vAlign w:val="center"/>
          </w:tcPr>
          <w:p w14:paraId="6599F3B6">
            <w:pPr>
              <w:spacing w:line="480" w:lineRule="exact"/>
              <w:jc w:val="center"/>
              <w:rPr>
                <w:rFonts w:hint="default" w:ascii="Times New Roman" w:hAnsi="Times New Roman" w:eastAsia="仿宋" w:cs="Times New Roman"/>
                <w:b/>
                <w:bCs/>
                <w:sz w:val="32"/>
                <w:szCs w:val="32"/>
                <w:vertAlign w:val="baseline"/>
                <w:lang w:val="en-US" w:eastAsia="zh-CN"/>
              </w:rPr>
            </w:pPr>
            <w:r>
              <w:rPr>
                <w:rFonts w:hint="default" w:ascii="Times New Roman" w:hAnsi="Times New Roman" w:eastAsia="仿宋" w:cs="Times New Roman"/>
                <w:b/>
                <w:bCs/>
                <w:sz w:val="32"/>
                <w:szCs w:val="32"/>
                <w:lang w:val="en-US" w:eastAsia="zh-CN"/>
              </w:rPr>
              <w:t>投标人公司</w:t>
            </w:r>
            <w:r>
              <w:rPr>
                <w:rFonts w:hint="default" w:ascii="Times New Roman" w:hAnsi="Times New Roman" w:eastAsia="仿宋" w:cs="Times New Roman"/>
                <w:b/>
                <w:bCs/>
                <w:sz w:val="32"/>
                <w:szCs w:val="32"/>
              </w:rPr>
              <w:t>名称</w:t>
            </w:r>
          </w:p>
        </w:tc>
        <w:tc>
          <w:tcPr>
            <w:tcW w:w="1908" w:type="dxa"/>
            <w:vAlign w:val="center"/>
          </w:tcPr>
          <w:p w14:paraId="4C96C035">
            <w:pPr>
              <w:spacing w:line="480" w:lineRule="exact"/>
              <w:jc w:val="center"/>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rPr>
              <w:t>报价</w:t>
            </w:r>
            <w:r>
              <w:rPr>
                <w:rFonts w:hint="default" w:ascii="Times New Roman" w:hAnsi="Times New Roman" w:eastAsia="仿宋" w:cs="Times New Roman"/>
                <w:b/>
                <w:bCs/>
                <w:sz w:val="32"/>
                <w:szCs w:val="32"/>
                <w:lang w:eastAsia="zh-CN"/>
              </w:rPr>
              <w:t>（</w:t>
            </w:r>
            <w:r>
              <w:rPr>
                <w:rFonts w:hint="default" w:ascii="Times New Roman" w:hAnsi="Times New Roman" w:eastAsia="仿宋" w:cs="Times New Roman"/>
                <w:b/>
                <w:bCs/>
                <w:sz w:val="32"/>
                <w:szCs w:val="32"/>
                <w:lang w:val="en-US" w:eastAsia="zh-CN"/>
              </w:rPr>
              <w:t>元</w:t>
            </w:r>
            <w:r>
              <w:rPr>
                <w:rFonts w:hint="default" w:ascii="Times New Roman" w:hAnsi="Times New Roman" w:eastAsia="仿宋" w:cs="Times New Roman"/>
                <w:b/>
                <w:bCs/>
                <w:sz w:val="32"/>
                <w:szCs w:val="32"/>
                <w:lang w:eastAsia="zh-CN"/>
              </w:rPr>
              <w:t>）</w:t>
            </w:r>
          </w:p>
        </w:tc>
        <w:tc>
          <w:tcPr>
            <w:tcW w:w="1475" w:type="dxa"/>
            <w:vAlign w:val="center"/>
          </w:tcPr>
          <w:p w14:paraId="5225BE47">
            <w:pPr>
              <w:spacing w:line="480" w:lineRule="exact"/>
              <w:jc w:val="center"/>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rPr>
              <w:t>备注</w:t>
            </w:r>
          </w:p>
        </w:tc>
      </w:tr>
      <w:tr w14:paraId="29B1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vAlign w:val="center"/>
          </w:tcPr>
          <w:p w14:paraId="064FBD6D">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1</w:t>
            </w:r>
          </w:p>
        </w:tc>
        <w:tc>
          <w:tcPr>
            <w:tcW w:w="4272" w:type="dxa"/>
            <w:vAlign w:val="center"/>
          </w:tcPr>
          <w:p w14:paraId="4D1F97E3">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p>
        </w:tc>
        <w:tc>
          <w:tcPr>
            <w:tcW w:w="1908" w:type="dxa"/>
            <w:vAlign w:val="center"/>
          </w:tcPr>
          <w:p w14:paraId="4247D361">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p>
        </w:tc>
        <w:tc>
          <w:tcPr>
            <w:tcW w:w="1475" w:type="dxa"/>
            <w:vAlign w:val="center"/>
          </w:tcPr>
          <w:p w14:paraId="41F9B188">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p>
        </w:tc>
      </w:tr>
      <w:tr w14:paraId="56CF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vAlign w:val="center"/>
          </w:tcPr>
          <w:p w14:paraId="5FBE7721">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2</w:t>
            </w:r>
          </w:p>
        </w:tc>
        <w:tc>
          <w:tcPr>
            <w:tcW w:w="4272" w:type="dxa"/>
            <w:vAlign w:val="center"/>
          </w:tcPr>
          <w:p w14:paraId="43FEF08D">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p>
        </w:tc>
        <w:tc>
          <w:tcPr>
            <w:tcW w:w="1908" w:type="dxa"/>
            <w:vAlign w:val="center"/>
          </w:tcPr>
          <w:p w14:paraId="56CA79AF">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p>
        </w:tc>
        <w:tc>
          <w:tcPr>
            <w:tcW w:w="1475" w:type="dxa"/>
            <w:vAlign w:val="center"/>
          </w:tcPr>
          <w:p w14:paraId="472C437D">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p>
        </w:tc>
      </w:tr>
      <w:tr w14:paraId="05C3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vAlign w:val="center"/>
          </w:tcPr>
          <w:p w14:paraId="56FB0A1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3</w:t>
            </w:r>
          </w:p>
        </w:tc>
        <w:tc>
          <w:tcPr>
            <w:tcW w:w="4272" w:type="dxa"/>
            <w:vAlign w:val="center"/>
          </w:tcPr>
          <w:p w14:paraId="04B3CC7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b w:val="0"/>
                <w:bCs w:val="0"/>
                <w:sz w:val="32"/>
                <w:szCs w:val="32"/>
                <w:vertAlign w:val="baseline"/>
                <w:lang w:val="en-US" w:eastAsia="zh-CN"/>
              </w:rPr>
            </w:pPr>
          </w:p>
        </w:tc>
        <w:tc>
          <w:tcPr>
            <w:tcW w:w="1908" w:type="dxa"/>
            <w:vAlign w:val="center"/>
          </w:tcPr>
          <w:p w14:paraId="3DA4150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b w:val="0"/>
                <w:bCs w:val="0"/>
                <w:sz w:val="32"/>
                <w:szCs w:val="32"/>
                <w:vertAlign w:val="baseline"/>
                <w:lang w:val="en-US" w:eastAsia="zh-CN"/>
              </w:rPr>
            </w:pPr>
          </w:p>
        </w:tc>
        <w:tc>
          <w:tcPr>
            <w:tcW w:w="1475" w:type="dxa"/>
            <w:vAlign w:val="center"/>
          </w:tcPr>
          <w:p w14:paraId="349472E6">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p>
        </w:tc>
      </w:tr>
      <w:tr w14:paraId="50BE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vAlign w:val="center"/>
          </w:tcPr>
          <w:p w14:paraId="579CD25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4</w:t>
            </w:r>
          </w:p>
        </w:tc>
        <w:tc>
          <w:tcPr>
            <w:tcW w:w="4272" w:type="dxa"/>
            <w:vAlign w:val="center"/>
          </w:tcPr>
          <w:p w14:paraId="146FBD01">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p>
        </w:tc>
        <w:tc>
          <w:tcPr>
            <w:tcW w:w="1908" w:type="dxa"/>
            <w:vAlign w:val="center"/>
          </w:tcPr>
          <w:p w14:paraId="46F45492">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p>
        </w:tc>
        <w:tc>
          <w:tcPr>
            <w:tcW w:w="1475" w:type="dxa"/>
            <w:vAlign w:val="center"/>
          </w:tcPr>
          <w:p w14:paraId="674C998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仿宋" w:cs="Times New Roman"/>
                <w:b w:val="0"/>
                <w:bCs w:val="0"/>
                <w:sz w:val="32"/>
                <w:szCs w:val="32"/>
                <w:vertAlign w:val="baseline"/>
                <w:lang w:val="en-US" w:eastAsia="zh-CN"/>
              </w:rPr>
            </w:pPr>
          </w:p>
        </w:tc>
      </w:tr>
      <w:tr w14:paraId="6568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8522" w:type="dxa"/>
            <w:gridSpan w:val="4"/>
            <w:vAlign w:val="center"/>
          </w:tcPr>
          <w:p w14:paraId="7BF320F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left"/>
              <w:textAlignment w:val="auto"/>
              <w:outlineLvl w:val="9"/>
              <w:rPr>
                <w:rFonts w:hint="default" w:ascii="Times New Roman" w:hAnsi="Times New Roman" w:eastAsia="仿宋" w:cs="Times New Roman"/>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结论：经过对上述x家公司的各项条件对比，xxxx公司在同类项目服务经验及服务费报价上较其他x家公司更有优势，更有</w:t>
            </w:r>
            <w:r>
              <w:rPr>
                <w:rFonts w:hint="eastAsia" w:ascii="Times New Roman" w:hAnsi="Times New Roman" w:eastAsia="仿宋" w:cs="Times New Roman"/>
                <w:b w:val="0"/>
                <w:bCs w:val="0"/>
                <w:sz w:val="32"/>
                <w:szCs w:val="32"/>
                <w:vertAlign w:val="baseline"/>
                <w:lang w:val="en-US" w:eastAsia="zh-CN"/>
              </w:rPr>
              <w:t>利于</w:t>
            </w:r>
            <w:r>
              <w:rPr>
                <w:rFonts w:hint="default" w:ascii="Times New Roman" w:hAnsi="Times New Roman" w:eastAsia="仿宋" w:cs="Times New Roman"/>
                <w:b w:val="0"/>
                <w:bCs w:val="0"/>
                <w:sz w:val="32"/>
                <w:szCs w:val="32"/>
                <w:vertAlign w:val="baseline"/>
                <w:lang w:val="en-US" w:eastAsia="zh-CN"/>
              </w:rPr>
              <w:t>本项目服务的开展。因此，建议xxx公</w:t>
            </w:r>
            <w:r>
              <w:rPr>
                <w:rFonts w:hint="eastAsia" w:ascii="Times New Roman" w:hAnsi="Times New Roman" w:eastAsia="仿宋" w:cs="Times New Roman"/>
                <w:b w:val="0"/>
                <w:bCs w:val="0"/>
                <w:sz w:val="32"/>
                <w:szCs w:val="32"/>
                <w:vertAlign w:val="baseline"/>
                <w:lang w:val="en-US" w:eastAsia="zh-CN"/>
              </w:rPr>
              <w:t>司作</w:t>
            </w:r>
            <w:r>
              <w:rPr>
                <w:rFonts w:hint="default" w:ascii="Times New Roman" w:hAnsi="Times New Roman" w:eastAsia="仿宋" w:cs="Times New Roman"/>
                <w:b w:val="0"/>
                <w:bCs w:val="0"/>
                <w:sz w:val="32"/>
                <w:szCs w:val="32"/>
                <w:vertAlign w:val="baseline"/>
                <w:lang w:val="en-US" w:eastAsia="zh-CN"/>
              </w:rPr>
              <w:t>为本项目的供应商。</w:t>
            </w:r>
          </w:p>
        </w:tc>
      </w:tr>
    </w:tbl>
    <w:p w14:paraId="1EBDE6AA">
      <w:pPr>
        <w:keepNext w:val="0"/>
        <w:keepLines w:val="0"/>
        <w:pageBreakBefore w:val="0"/>
        <w:widowControl w:val="0"/>
        <w:kinsoku/>
        <w:wordWrap/>
        <w:overflowPunct/>
        <w:topLinePunct w:val="0"/>
        <w:autoSpaceDE/>
        <w:autoSpaceDN/>
        <w:bidi w:val="0"/>
        <w:adjustRightInd/>
        <w:snapToGrid/>
        <w:spacing w:before="157" w:beforeLines="50" w:line="560" w:lineRule="exact"/>
        <w:ind w:firstLine="640" w:firstLineChars="200"/>
        <w:textAlignment w:val="auto"/>
        <w:outlineLvl w:val="9"/>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rPr>
        <w:t>（三）</w:t>
      </w:r>
      <w:r>
        <w:rPr>
          <w:rFonts w:hint="default" w:ascii="Times New Roman" w:hAnsi="Times New Roman" w:eastAsia="楷体" w:cs="Times New Roman"/>
          <w:b w:val="0"/>
          <w:bCs w:val="0"/>
          <w:sz w:val="32"/>
          <w:szCs w:val="32"/>
          <w:lang w:val="en-US" w:eastAsia="zh-CN"/>
        </w:rPr>
        <w:t>选定供应商</w:t>
      </w:r>
    </w:p>
    <w:p w14:paraId="02FB948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按照符合性审查结果，</w:t>
      </w:r>
      <w:r>
        <w:rPr>
          <w:rFonts w:hint="default" w:ascii="Times New Roman" w:hAnsi="Times New Roman" w:eastAsia="仿宋" w:cs="Times New Roman"/>
          <w:sz w:val="32"/>
          <w:szCs w:val="32"/>
        </w:rPr>
        <w:t>按投标报价由低到高顺序排列</w:t>
      </w:r>
      <w:r>
        <w:rPr>
          <w:rFonts w:hint="default" w:ascii="Times New Roman" w:hAnsi="Times New Roman" w:eastAsia="仿宋" w:cs="Times New Roman"/>
          <w:sz w:val="32"/>
          <w:szCs w:val="32"/>
          <w:lang w:eastAsia="zh-CN"/>
        </w:rPr>
        <w:t>，</w:t>
      </w:r>
      <w:bookmarkStart w:id="1" w:name="_Hlk528938996"/>
      <w:r>
        <w:rPr>
          <w:rFonts w:hint="default" w:ascii="Times New Roman" w:hAnsi="Times New Roman" w:eastAsia="仿宋" w:cs="Times New Roman"/>
          <w:sz w:val="32"/>
          <w:szCs w:val="32"/>
        </w:rPr>
        <w:t>同等条件下，选取报价最低的</w:t>
      </w:r>
      <w:r>
        <w:rPr>
          <w:rFonts w:hint="default" w:ascii="Times New Roman" w:hAnsi="Times New Roman" w:eastAsia="仿宋" w:cs="Times New Roman"/>
          <w:sz w:val="32"/>
          <w:szCs w:val="32"/>
          <w:lang w:val="en-US" w:eastAsia="zh-CN"/>
        </w:rPr>
        <w:t>投标</w:t>
      </w:r>
      <w:r>
        <w:rPr>
          <w:rFonts w:hint="default" w:ascii="Times New Roman" w:hAnsi="Times New Roman" w:eastAsia="仿宋" w:cs="Times New Roman"/>
          <w:sz w:val="32"/>
          <w:szCs w:val="32"/>
        </w:rPr>
        <w:t>人。</w:t>
      </w:r>
    </w:p>
    <w:p w14:paraId="16B110B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六、</w:t>
      </w:r>
      <w:r>
        <w:rPr>
          <w:rFonts w:hint="default" w:ascii="Times New Roman" w:hAnsi="Times New Roman" w:eastAsia="黑体" w:cs="Times New Roman"/>
          <w:b w:val="0"/>
          <w:bCs w:val="0"/>
          <w:sz w:val="32"/>
          <w:szCs w:val="32"/>
        </w:rPr>
        <w:t>评审结果公示</w:t>
      </w:r>
      <w:bookmarkEnd w:id="0"/>
      <w:bookmarkEnd w:id="1"/>
    </w:p>
    <w:p w14:paraId="364EA95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outlineLvl w:val="9"/>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评审结果将会在广州市花都区农业农村局网站进行公示。</w:t>
      </w:r>
    </w:p>
    <w:sectPr>
      <w:headerReference r:id="rId3" w:type="default"/>
      <w:footerReference r:id="rId4"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76B31">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8E1643">
                          <w:pPr>
                            <w:pStyle w:val="10"/>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628E1643">
                    <w:pPr>
                      <w:pStyle w:val="10"/>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A6CF2">
    <w:pPr>
      <w:pStyle w:val="11"/>
      <w:pBdr>
        <w:bottom w:val="none" w:color="auto" w:sz="0" w:space="1"/>
      </w:pBdr>
      <w:jc w:val="both"/>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B21365"/>
    <w:multiLevelType w:val="multilevel"/>
    <w:tmpl w:val="7FB21365"/>
    <w:lvl w:ilvl="0" w:tentative="0">
      <w:start w:val="1"/>
      <w:numFmt w:val="decimal"/>
      <w:pStyle w:val="7"/>
      <w:lvlText w:val="第%1章"/>
      <w:lvlJc w:val="left"/>
      <w:pPr>
        <w:tabs>
          <w:tab w:val="left" w:pos="360"/>
        </w:tabs>
        <w:ind w:left="0" w:firstLine="0"/>
      </w:pPr>
      <w:rPr>
        <w:rFonts w:hint="default" w:ascii="Arial" w:hAnsi="Arial" w:eastAsia="黑体"/>
        <w:b/>
        <w:i w:val="0"/>
        <w:sz w:val="32"/>
      </w:rPr>
    </w:lvl>
    <w:lvl w:ilvl="1" w:tentative="0">
      <w:start w:val="1"/>
      <w:numFmt w:val="decimal"/>
      <w:lvlText w:val="%1.%2"/>
      <w:lvlJc w:val="left"/>
      <w:pPr>
        <w:tabs>
          <w:tab w:val="left" w:pos="720"/>
        </w:tabs>
        <w:ind w:left="0" w:firstLine="0"/>
      </w:pPr>
      <w:rPr>
        <w:rFonts w:hint="default" w:ascii="Arial" w:hAnsi="Arial" w:eastAsia="黑体"/>
        <w:sz w:val="30"/>
      </w:rPr>
    </w:lvl>
    <w:lvl w:ilvl="2" w:tentative="0">
      <w:start w:val="1"/>
      <w:numFmt w:val="decimal"/>
      <w:lvlText w:val="%1.%2.%3"/>
      <w:lvlJc w:val="left"/>
      <w:pPr>
        <w:tabs>
          <w:tab w:val="left" w:pos="720"/>
        </w:tabs>
        <w:ind w:left="0" w:firstLine="0"/>
      </w:pPr>
      <w:rPr>
        <w:rFonts w:hint="default" w:ascii="Arial" w:hAnsi="Arial" w:eastAsia="黑体"/>
        <w:sz w:val="28"/>
      </w:rPr>
    </w:lvl>
    <w:lvl w:ilvl="3" w:tentative="0">
      <w:start w:val="1"/>
      <w:numFmt w:val="decimal"/>
      <w:lvlText w:val="%1.%2.%3.%4"/>
      <w:lvlJc w:val="left"/>
      <w:pPr>
        <w:tabs>
          <w:tab w:val="left" w:pos="1080"/>
        </w:tabs>
        <w:ind w:left="0" w:firstLine="0"/>
      </w:pPr>
      <w:rPr>
        <w:rFonts w:hint="default" w:ascii="Arial" w:hAnsi="Arial" w:eastAsia="黑体"/>
        <w:sz w:val="28"/>
      </w:rPr>
    </w:lvl>
    <w:lvl w:ilvl="4" w:tentative="0">
      <w:start w:val="1"/>
      <w:numFmt w:val="decimal"/>
      <w:lvlText w:val="%1.%2.%3.%4.%5"/>
      <w:lvlJc w:val="left"/>
      <w:pPr>
        <w:tabs>
          <w:tab w:val="left" w:pos="1440"/>
        </w:tabs>
        <w:ind w:left="0" w:firstLine="0"/>
      </w:pPr>
      <w:rPr>
        <w:rFonts w:hint="default" w:ascii="Arial" w:hAnsi="Arial" w:eastAsia="黑体"/>
        <w:sz w:val="28"/>
      </w:rPr>
    </w:lvl>
    <w:lvl w:ilvl="5" w:tentative="0">
      <w:start w:val="1"/>
      <w:numFmt w:val="decimal"/>
      <w:lvlText w:val="%1.%2.%3.%4.%5.%6"/>
      <w:lvlJc w:val="left"/>
      <w:pPr>
        <w:tabs>
          <w:tab w:val="left" w:pos="1080"/>
        </w:tabs>
        <w:ind w:left="0" w:firstLine="0"/>
      </w:pPr>
      <w:rPr>
        <w:rFonts w:hint="eastAsia"/>
      </w:rPr>
    </w:lvl>
    <w:lvl w:ilvl="6" w:tentative="0">
      <w:start w:val="1"/>
      <w:numFmt w:val="decimal"/>
      <w:lvlText w:val="%1.%2.%3.%4.%5.%6.%7"/>
      <w:lvlJc w:val="left"/>
      <w:pPr>
        <w:tabs>
          <w:tab w:val="left" w:pos="0"/>
        </w:tabs>
        <w:ind w:left="0" w:firstLine="0"/>
      </w:pPr>
      <w:rPr>
        <w:rFonts w:hint="eastAsia"/>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638"/>
    <w:rsid w:val="00092CE9"/>
    <w:rsid w:val="000E3D9E"/>
    <w:rsid w:val="000F1236"/>
    <w:rsid w:val="00107E59"/>
    <w:rsid w:val="001332A8"/>
    <w:rsid w:val="00184D8C"/>
    <w:rsid w:val="001B5505"/>
    <w:rsid w:val="001C3ED8"/>
    <w:rsid w:val="001D2BEC"/>
    <w:rsid w:val="00211540"/>
    <w:rsid w:val="00215BB2"/>
    <w:rsid w:val="00231044"/>
    <w:rsid w:val="0023544F"/>
    <w:rsid w:val="00235684"/>
    <w:rsid w:val="00265BD8"/>
    <w:rsid w:val="00266EB6"/>
    <w:rsid w:val="0028528E"/>
    <w:rsid w:val="002C31D5"/>
    <w:rsid w:val="002D4C80"/>
    <w:rsid w:val="00300F71"/>
    <w:rsid w:val="0031063F"/>
    <w:rsid w:val="00321591"/>
    <w:rsid w:val="003219E9"/>
    <w:rsid w:val="00324DD6"/>
    <w:rsid w:val="003326DA"/>
    <w:rsid w:val="003419B5"/>
    <w:rsid w:val="00351486"/>
    <w:rsid w:val="00364B5F"/>
    <w:rsid w:val="003721DE"/>
    <w:rsid w:val="003740E6"/>
    <w:rsid w:val="00374A95"/>
    <w:rsid w:val="003A0D67"/>
    <w:rsid w:val="003B537B"/>
    <w:rsid w:val="003C4990"/>
    <w:rsid w:val="003D4FF5"/>
    <w:rsid w:val="003D5A60"/>
    <w:rsid w:val="003E5501"/>
    <w:rsid w:val="0041206C"/>
    <w:rsid w:val="004211DE"/>
    <w:rsid w:val="00427D15"/>
    <w:rsid w:val="004327A8"/>
    <w:rsid w:val="00437207"/>
    <w:rsid w:val="00464E87"/>
    <w:rsid w:val="00484434"/>
    <w:rsid w:val="004A0B59"/>
    <w:rsid w:val="004B5D43"/>
    <w:rsid w:val="004C33F1"/>
    <w:rsid w:val="004D025A"/>
    <w:rsid w:val="00511B93"/>
    <w:rsid w:val="00536260"/>
    <w:rsid w:val="00582EFE"/>
    <w:rsid w:val="005949A3"/>
    <w:rsid w:val="005F6FE5"/>
    <w:rsid w:val="00643D23"/>
    <w:rsid w:val="006500D3"/>
    <w:rsid w:val="00654898"/>
    <w:rsid w:val="0068592D"/>
    <w:rsid w:val="006C6722"/>
    <w:rsid w:val="006D484D"/>
    <w:rsid w:val="006F4A87"/>
    <w:rsid w:val="00701F6E"/>
    <w:rsid w:val="00707AA3"/>
    <w:rsid w:val="007966F0"/>
    <w:rsid w:val="007A0D32"/>
    <w:rsid w:val="007D40EA"/>
    <w:rsid w:val="007F0137"/>
    <w:rsid w:val="007F671A"/>
    <w:rsid w:val="00815B52"/>
    <w:rsid w:val="008167B1"/>
    <w:rsid w:val="00875638"/>
    <w:rsid w:val="008B08DD"/>
    <w:rsid w:val="008C6ACF"/>
    <w:rsid w:val="008D3EFF"/>
    <w:rsid w:val="00906A16"/>
    <w:rsid w:val="00923B3D"/>
    <w:rsid w:val="00940B64"/>
    <w:rsid w:val="00952C3D"/>
    <w:rsid w:val="00961563"/>
    <w:rsid w:val="00963D53"/>
    <w:rsid w:val="00967C39"/>
    <w:rsid w:val="0099149E"/>
    <w:rsid w:val="009918E9"/>
    <w:rsid w:val="009B690F"/>
    <w:rsid w:val="00A01753"/>
    <w:rsid w:val="00A21A12"/>
    <w:rsid w:val="00A25AAF"/>
    <w:rsid w:val="00A32030"/>
    <w:rsid w:val="00A511A5"/>
    <w:rsid w:val="00A577F6"/>
    <w:rsid w:val="00A60068"/>
    <w:rsid w:val="00A715F5"/>
    <w:rsid w:val="00A8255E"/>
    <w:rsid w:val="00A86ABB"/>
    <w:rsid w:val="00AA2D74"/>
    <w:rsid w:val="00AA5024"/>
    <w:rsid w:val="00AE2C7D"/>
    <w:rsid w:val="00AF1672"/>
    <w:rsid w:val="00B24A18"/>
    <w:rsid w:val="00B273BD"/>
    <w:rsid w:val="00B632D1"/>
    <w:rsid w:val="00B807D9"/>
    <w:rsid w:val="00B811C9"/>
    <w:rsid w:val="00BC1133"/>
    <w:rsid w:val="00BF18B8"/>
    <w:rsid w:val="00C168C1"/>
    <w:rsid w:val="00C21A2A"/>
    <w:rsid w:val="00C22A1F"/>
    <w:rsid w:val="00C264FD"/>
    <w:rsid w:val="00C94A57"/>
    <w:rsid w:val="00C96B47"/>
    <w:rsid w:val="00C97A81"/>
    <w:rsid w:val="00CB4A4E"/>
    <w:rsid w:val="00CC7BA2"/>
    <w:rsid w:val="00CD2A4D"/>
    <w:rsid w:val="00CD4A35"/>
    <w:rsid w:val="00CF449D"/>
    <w:rsid w:val="00D07DBD"/>
    <w:rsid w:val="00D16070"/>
    <w:rsid w:val="00D675D0"/>
    <w:rsid w:val="00D76FA6"/>
    <w:rsid w:val="00D822E6"/>
    <w:rsid w:val="00D863DE"/>
    <w:rsid w:val="00DA6600"/>
    <w:rsid w:val="00DC6806"/>
    <w:rsid w:val="00E07BF4"/>
    <w:rsid w:val="00E87B43"/>
    <w:rsid w:val="00E94BEC"/>
    <w:rsid w:val="00EA02B9"/>
    <w:rsid w:val="00EB6889"/>
    <w:rsid w:val="00EC19DC"/>
    <w:rsid w:val="00EC392F"/>
    <w:rsid w:val="00EC5C88"/>
    <w:rsid w:val="00EE20A4"/>
    <w:rsid w:val="00F3745A"/>
    <w:rsid w:val="00F450E5"/>
    <w:rsid w:val="00F546E3"/>
    <w:rsid w:val="00F73B97"/>
    <w:rsid w:val="00F77588"/>
    <w:rsid w:val="00F9122E"/>
    <w:rsid w:val="00FA47B5"/>
    <w:rsid w:val="00FD3060"/>
    <w:rsid w:val="00FE62E2"/>
    <w:rsid w:val="00FF1E4F"/>
    <w:rsid w:val="03742BB2"/>
    <w:rsid w:val="03F82848"/>
    <w:rsid w:val="04DC7DA2"/>
    <w:rsid w:val="05E13981"/>
    <w:rsid w:val="05E937CF"/>
    <w:rsid w:val="0DB0620F"/>
    <w:rsid w:val="0DEF5863"/>
    <w:rsid w:val="0E4B09AA"/>
    <w:rsid w:val="11C16961"/>
    <w:rsid w:val="14C66B32"/>
    <w:rsid w:val="14E1472B"/>
    <w:rsid w:val="163343D7"/>
    <w:rsid w:val="176F4D36"/>
    <w:rsid w:val="17983DD0"/>
    <w:rsid w:val="18507BCC"/>
    <w:rsid w:val="185903BF"/>
    <w:rsid w:val="1BA231DE"/>
    <w:rsid w:val="1C186A2A"/>
    <w:rsid w:val="1F0BCF55"/>
    <w:rsid w:val="1FC714DF"/>
    <w:rsid w:val="22A42CAE"/>
    <w:rsid w:val="30D41EE0"/>
    <w:rsid w:val="32A265DB"/>
    <w:rsid w:val="335B4BC5"/>
    <w:rsid w:val="33E41CA4"/>
    <w:rsid w:val="34E159A9"/>
    <w:rsid w:val="354A2041"/>
    <w:rsid w:val="35702565"/>
    <w:rsid w:val="38F7B75C"/>
    <w:rsid w:val="39420C9A"/>
    <w:rsid w:val="39BC4B19"/>
    <w:rsid w:val="3CF10966"/>
    <w:rsid w:val="3EA8612D"/>
    <w:rsid w:val="3FBE6A1D"/>
    <w:rsid w:val="40E11007"/>
    <w:rsid w:val="41471EA5"/>
    <w:rsid w:val="433971B4"/>
    <w:rsid w:val="46642D24"/>
    <w:rsid w:val="466F710C"/>
    <w:rsid w:val="471A678C"/>
    <w:rsid w:val="48577C8E"/>
    <w:rsid w:val="48765219"/>
    <w:rsid w:val="4A1869E1"/>
    <w:rsid w:val="4A9242F3"/>
    <w:rsid w:val="4BE514F3"/>
    <w:rsid w:val="4CBC34E6"/>
    <w:rsid w:val="4E824436"/>
    <w:rsid w:val="52136F47"/>
    <w:rsid w:val="54E25002"/>
    <w:rsid w:val="551416E5"/>
    <w:rsid w:val="585F0850"/>
    <w:rsid w:val="58EA4AA6"/>
    <w:rsid w:val="5A3C51D3"/>
    <w:rsid w:val="5C6F3B2D"/>
    <w:rsid w:val="5E8701CD"/>
    <w:rsid w:val="62A22585"/>
    <w:rsid w:val="63BC6F59"/>
    <w:rsid w:val="649220B0"/>
    <w:rsid w:val="65795528"/>
    <w:rsid w:val="66696571"/>
    <w:rsid w:val="6A6A1DFE"/>
    <w:rsid w:val="6B307B69"/>
    <w:rsid w:val="6B426633"/>
    <w:rsid w:val="6B8A4DA2"/>
    <w:rsid w:val="6BBF6FD2"/>
    <w:rsid w:val="6DC10272"/>
    <w:rsid w:val="6EDC34B7"/>
    <w:rsid w:val="6FBF18F0"/>
    <w:rsid w:val="71286FBE"/>
    <w:rsid w:val="71BB14F4"/>
    <w:rsid w:val="762579D0"/>
    <w:rsid w:val="76E560E0"/>
    <w:rsid w:val="7748458E"/>
    <w:rsid w:val="77A06CD6"/>
    <w:rsid w:val="77F73C10"/>
    <w:rsid w:val="784312FA"/>
    <w:rsid w:val="790439F2"/>
    <w:rsid w:val="790A5E3B"/>
    <w:rsid w:val="79FA2BC4"/>
    <w:rsid w:val="7BF514DC"/>
    <w:rsid w:val="7C1620AD"/>
    <w:rsid w:val="7E9951AF"/>
    <w:rsid w:val="7FFE5A7E"/>
    <w:rsid w:val="CDFD2350"/>
    <w:rsid w:val="FBF7629A"/>
    <w:rsid w:val="FDAA0C9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7">
    <w:name w:val="heading 1"/>
    <w:basedOn w:val="1"/>
    <w:next w:val="1"/>
    <w:qFormat/>
    <w:locked/>
    <w:uiPriority w:val="0"/>
    <w:pPr>
      <w:keepNext/>
      <w:keepLines/>
      <w:numPr>
        <w:ilvl w:val="0"/>
        <w:numId w:val="1"/>
      </w:numPr>
      <w:spacing w:before="200" w:after="200" w:line="578" w:lineRule="auto"/>
      <w:outlineLvl w:val="0"/>
    </w:pPr>
    <w:rPr>
      <w:rFonts w:ascii="Arial" w:hAnsi="Arial" w:eastAsia="黑体"/>
      <w:b/>
      <w:bCs/>
      <w:kern w:val="44"/>
      <w:sz w:val="32"/>
      <w:szCs w:val="4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widowControl w:val="0"/>
      <w:ind w:left="200" w:leftChars="0" w:firstLine="200"/>
      <w:jc w:val="both"/>
    </w:pPr>
    <w:rPr>
      <w:rFonts w:ascii="宋体" w:hAnsi="宋体"/>
      <w:kern w:val="2"/>
    </w:rPr>
  </w:style>
  <w:style w:type="paragraph" w:styleId="3">
    <w:name w:val="Body Text Indent"/>
    <w:basedOn w:val="1"/>
    <w:next w:val="1"/>
    <w:qFormat/>
    <w:uiPriority w:val="0"/>
    <w:pPr>
      <w:autoSpaceDE/>
      <w:autoSpaceDN/>
      <w:adjustRightInd/>
      <w:spacing w:line="560" w:lineRule="exact"/>
      <w:ind w:left="300"/>
      <w:jc w:val="both"/>
    </w:pPr>
    <w:rPr>
      <w:kern w:val="2"/>
      <w:sz w:val="24"/>
      <w:szCs w:val="24"/>
    </w:rPr>
  </w:style>
  <w:style w:type="paragraph" w:styleId="4">
    <w:name w:val="Body Text First Indent"/>
    <w:basedOn w:val="5"/>
    <w:qFormat/>
    <w:uiPriority w:val="0"/>
    <w:pPr>
      <w:widowControl w:val="0"/>
      <w:adjustRightInd w:val="0"/>
      <w:snapToGrid w:val="0"/>
      <w:spacing w:before="40" w:after="40"/>
      <w:ind w:firstLine="200" w:firstLineChars="200"/>
      <w:jc w:val="both"/>
    </w:pPr>
    <w:rPr>
      <w:kern w:val="2"/>
      <w:sz w:val="24"/>
    </w:rPr>
  </w:style>
  <w:style w:type="paragraph" w:styleId="5">
    <w:name w:val="Body Text"/>
    <w:basedOn w:val="1"/>
    <w:next w:val="6"/>
    <w:qFormat/>
    <w:uiPriority w:val="0"/>
    <w:pPr>
      <w:spacing w:after="120"/>
    </w:pPr>
    <w:rPr>
      <w:kern w:val="0"/>
      <w:sz w:val="20"/>
    </w:rPr>
  </w:style>
  <w:style w:type="paragraph" w:styleId="6">
    <w:name w:val="Date"/>
    <w:basedOn w:val="1"/>
    <w:next w:val="1"/>
    <w:qFormat/>
    <w:uiPriority w:val="0"/>
    <w:rPr>
      <w:sz w:val="24"/>
      <w:szCs w:val="20"/>
    </w:rPr>
  </w:style>
  <w:style w:type="paragraph" w:styleId="8">
    <w:name w:val="Normal Indent"/>
    <w:basedOn w:val="1"/>
    <w:qFormat/>
    <w:uiPriority w:val="0"/>
    <w:pPr>
      <w:ind w:firstLine="200" w:firstLineChars="200"/>
    </w:pPr>
    <w:rPr>
      <w:rFonts w:ascii="Times New Roman" w:hAnsi="Times New Roman" w:eastAsia="宋体" w:cs="Times New Roman"/>
      <w:szCs w:val="24"/>
      <w:lang w:bidi="ar-SA"/>
    </w:rPr>
  </w:style>
  <w:style w:type="paragraph" w:styleId="9">
    <w:name w:val="Plain Text"/>
    <w:basedOn w:val="1"/>
    <w:link w:val="17"/>
    <w:qFormat/>
    <w:uiPriority w:val="0"/>
    <w:rPr>
      <w:rFonts w:ascii="宋体" w:hAnsi="Courier New" w:cs="Times New Roman"/>
      <w:szCs w:val="20"/>
    </w:rPr>
  </w:style>
  <w:style w:type="paragraph" w:styleId="10">
    <w:name w:val="footer"/>
    <w:basedOn w:val="1"/>
    <w:link w:val="16"/>
    <w:semiHidden/>
    <w:qFormat/>
    <w:uiPriority w:val="99"/>
    <w:pPr>
      <w:tabs>
        <w:tab w:val="center" w:pos="4153"/>
        <w:tab w:val="right" w:pos="8306"/>
      </w:tabs>
      <w:snapToGrid w:val="0"/>
      <w:jc w:val="left"/>
    </w:pPr>
    <w:rPr>
      <w:sz w:val="18"/>
      <w:szCs w:val="18"/>
    </w:rPr>
  </w:style>
  <w:style w:type="paragraph" w:styleId="11">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table" w:styleId="13">
    <w:name w:val="Table Grid"/>
    <w:basedOn w:val="12"/>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页眉 字符"/>
    <w:basedOn w:val="14"/>
    <w:link w:val="11"/>
    <w:qFormat/>
    <w:locked/>
    <w:uiPriority w:val="99"/>
    <w:rPr>
      <w:sz w:val="18"/>
      <w:szCs w:val="18"/>
    </w:rPr>
  </w:style>
  <w:style w:type="character" w:customStyle="1" w:styleId="16">
    <w:name w:val="页脚 字符"/>
    <w:basedOn w:val="14"/>
    <w:link w:val="10"/>
    <w:semiHidden/>
    <w:qFormat/>
    <w:locked/>
    <w:uiPriority w:val="99"/>
    <w:rPr>
      <w:sz w:val="18"/>
      <w:szCs w:val="18"/>
    </w:rPr>
  </w:style>
  <w:style w:type="character" w:customStyle="1" w:styleId="17">
    <w:name w:val="纯文本 字符"/>
    <w:basedOn w:val="14"/>
    <w:link w:val="9"/>
    <w:qFormat/>
    <w:uiPriority w:val="0"/>
    <w:rPr>
      <w:rFonts w:ascii="宋体" w:hAnsi="Courier New"/>
      <w:kern w:val="2"/>
      <w:sz w:val="21"/>
    </w:rPr>
  </w:style>
  <w:style w:type="paragraph" w:customStyle="1" w:styleId="18">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1302</Words>
  <Characters>1353</Characters>
  <Lines>10</Lines>
  <Paragraphs>3</Paragraphs>
  <TotalTime>5</TotalTime>
  <ScaleCrop>false</ScaleCrop>
  <LinksUpToDate>false</LinksUpToDate>
  <CharactersWithSpaces>1353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2018-11-03T22:29:00Z</dcterms:created>
  <dc:creator>admin</dc:creator>
  <cp:lastModifiedBy>罗丽霞</cp:lastModifiedBy>
  <cp:lastPrinted>2023-05-17T01:55:00Z</cp:lastPrinted>
  <dcterms:modified xsi:type="dcterms:W3CDTF">2026-09-22T09:07:46Z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eyJoZGlkIjoiOTUwNmRhN2YxMTdiNzBiMWFhOTdjYzFmNmJiOTQzNzUiLCJ1c2VySWQiOiIxNjU3OTM2NDA3In0=</vt:lpwstr>
  </property>
  <property fmtid="{D5CDD505-2E9C-101B-9397-08002B2CF9AE}" pid="4" name="ICV">
    <vt:lpwstr>09AB24F6E4BA4A748AD71E4F6C3D81D0_12</vt:lpwstr>
  </property>
</Properties>
</file>